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footer1.xml" ContentType="application/vnd.openxmlformats-officedocument.wordprocessingml.footer+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E03" w:rsidRDefault="00EA4E03" w:rsidP="00EA4E03">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w:t>
      </w:r>
      <w:r w:rsidR="00A11141" w:rsidRPr="00A11141">
        <w:rPr>
          <w:rFonts w:ascii="Times New Roman" w:hAnsi="Times New Roman" w:cs="Times New Roman"/>
          <w:b/>
          <w:sz w:val="28"/>
          <w:szCs w:val="28"/>
        </w:rPr>
        <w:t>инистр финансов Чеченской Республики</w:t>
      </w:r>
      <w:r>
        <w:rPr>
          <w:rFonts w:ascii="Times New Roman" w:hAnsi="Times New Roman" w:cs="Times New Roman"/>
          <w:b/>
          <w:sz w:val="28"/>
          <w:szCs w:val="28"/>
        </w:rPr>
        <w:t xml:space="preserve"> </w:t>
      </w:r>
    </w:p>
    <w:p w:rsidR="00814DC6" w:rsidRPr="00A11141" w:rsidRDefault="00EA4E03" w:rsidP="00EA4E03">
      <w:pPr>
        <w:spacing w:after="0" w:line="240" w:lineRule="auto"/>
        <w:jc w:val="center"/>
        <w:rPr>
          <w:rFonts w:ascii="Times New Roman" w:hAnsi="Times New Roman" w:cs="Times New Roman"/>
          <w:b/>
          <w:sz w:val="28"/>
          <w:szCs w:val="28"/>
        </w:rPr>
      </w:pPr>
      <w:proofErr w:type="spellStart"/>
      <w:r>
        <w:rPr>
          <w:rFonts w:ascii="Times New Roman" w:hAnsi="Times New Roman" w:cs="Times New Roman"/>
          <w:b/>
          <w:sz w:val="28"/>
          <w:szCs w:val="28"/>
        </w:rPr>
        <w:t>Рассуханов</w:t>
      </w:r>
      <w:proofErr w:type="spellEnd"/>
      <w:r>
        <w:rPr>
          <w:rFonts w:ascii="Times New Roman" w:hAnsi="Times New Roman" w:cs="Times New Roman"/>
          <w:b/>
          <w:sz w:val="28"/>
          <w:szCs w:val="28"/>
        </w:rPr>
        <w:t xml:space="preserve"> </w:t>
      </w:r>
      <w:proofErr w:type="spellStart"/>
      <w:r>
        <w:rPr>
          <w:rFonts w:ascii="Times New Roman" w:hAnsi="Times New Roman" w:cs="Times New Roman"/>
          <w:b/>
          <w:sz w:val="28"/>
          <w:szCs w:val="28"/>
        </w:rPr>
        <w:t>Усман</w:t>
      </w:r>
      <w:proofErr w:type="spellEnd"/>
      <w:r>
        <w:rPr>
          <w:rFonts w:ascii="Times New Roman" w:hAnsi="Times New Roman" w:cs="Times New Roman"/>
          <w:b/>
          <w:sz w:val="28"/>
          <w:szCs w:val="28"/>
        </w:rPr>
        <w:t xml:space="preserve"> Абдул-</w:t>
      </w:r>
      <w:proofErr w:type="spellStart"/>
      <w:r>
        <w:rPr>
          <w:rFonts w:ascii="Times New Roman" w:hAnsi="Times New Roman" w:cs="Times New Roman"/>
          <w:b/>
          <w:sz w:val="28"/>
          <w:szCs w:val="28"/>
        </w:rPr>
        <w:t>Азиевич</w:t>
      </w:r>
      <w:proofErr w:type="spellEnd"/>
      <w:r>
        <w:rPr>
          <w:rFonts w:ascii="Times New Roman" w:hAnsi="Times New Roman" w:cs="Times New Roman"/>
          <w:b/>
          <w:sz w:val="28"/>
          <w:szCs w:val="28"/>
        </w:rPr>
        <w:t xml:space="preserve"> </w:t>
      </w:r>
    </w:p>
    <w:p w:rsidR="000D6B0B" w:rsidRPr="000D6B0B" w:rsidRDefault="000D6B0B" w:rsidP="000D6B0B">
      <w:pPr>
        <w:spacing w:after="0" w:line="360" w:lineRule="auto"/>
        <w:jc w:val="both"/>
        <w:rPr>
          <w:rFonts w:ascii="Times New Roman" w:hAnsi="Times New Roman" w:cs="Times New Roman"/>
          <w:sz w:val="28"/>
          <w:szCs w:val="28"/>
        </w:rPr>
      </w:pPr>
    </w:p>
    <w:p w:rsidR="000D6B0B" w:rsidRDefault="000D6B0B"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Бюджетная система является ключевым звеном в системе социально-экономических отношений</w:t>
      </w:r>
      <w:r w:rsidR="00A11141">
        <w:rPr>
          <w:rFonts w:ascii="Times New Roman" w:hAnsi="Times New Roman" w:cs="Times New Roman"/>
          <w:sz w:val="28"/>
          <w:szCs w:val="28"/>
        </w:rPr>
        <w:t xml:space="preserve"> общества</w:t>
      </w:r>
      <w:r>
        <w:rPr>
          <w:rFonts w:ascii="Times New Roman" w:hAnsi="Times New Roman" w:cs="Times New Roman"/>
          <w:sz w:val="28"/>
          <w:szCs w:val="28"/>
        </w:rPr>
        <w:t xml:space="preserve">. Это обусловлено тем, что фискальная политика государства проникает в сферу деятельности производства экономических благ, их распределения и конечного потребления. Также через перераспределения части национального дохода государством проводится активная социальная политика, направленная на обеспечение благоприятных условий проживания граждан. </w:t>
      </w:r>
    </w:p>
    <w:p w:rsidR="000D6B0B" w:rsidRDefault="000D6B0B"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Эти задачи стоят и перед бюджетной системой Чеченской Республики. Решая вопросы обеспечения развития экономики и социальной сферы, система государственных финансов республики функционировала в условиях общероссийских экономических проблем и особенностей условий нашего региона.</w:t>
      </w:r>
    </w:p>
    <w:p w:rsidR="000D6B0B" w:rsidRDefault="000D6B0B"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Несмотря на имеющиеся проблемы, в целом год был завершен без существенных осложнений в обеспечении бюджетного процесса. Доходная часть бюджета в целом исполнена по плану, за исключением осложнений по налогу на прибыль организаций. Все администраторы доходов бюджетов работали без существенных нареканий. По расходам исполнение было на удовлетворительном уровне, что позволило закрыть год без задолженностей по бюджетным обязательствам.</w:t>
      </w:r>
    </w:p>
    <w:p w:rsidR="000D6B0B" w:rsidRDefault="000D6B0B"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Все участники бюджетного процесса обеспечивали принятие бюджетных обязатель</w:t>
      </w:r>
      <w:proofErr w:type="gramStart"/>
      <w:r>
        <w:rPr>
          <w:rFonts w:ascii="Times New Roman" w:hAnsi="Times New Roman" w:cs="Times New Roman"/>
          <w:sz w:val="28"/>
          <w:szCs w:val="28"/>
        </w:rPr>
        <w:t>ств в стр</w:t>
      </w:r>
      <w:proofErr w:type="gramEnd"/>
      <w:r>
        <w:rPr>
          <w:rFonts w:ascii="Times New Roman" w:hAnsi="Times New Roman" w:cs="Times New Roman"/>
          <w:sz w:val="28"/>
          <w:szCs w:val="28"/>
        </w:rPr>
        <w:t>огом соответствии с закрепленными расходными обязательствами, что является важным условием эффективного функционирования бюджетной системы.</w:t>
      </w:r>
    </w:p>
    <w:p w:rsidR="00393FA9" w:rsidRDefault="00393FA9" w:rsidP="000D6B0B">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обеспечения </w:t>
      </w:r>
      <w:proofErr w:type="gramStart"/>
      <w:r>
        <w:rPr>
          <w:rFonts w:ascii="Times New Roman" w:hAnsi="Times New Roman"/>
          <w:sz w:val="28"/>
          <w:szCs w:val="28"/>
        </w:rPr>
        <w:t>контроля за</w:t>
      </w:r>
      <w:proofErr w:type="gramEnd"/>
      <w:r>
        <w:rPr>
          <w:rFonts w:ascii="Times New Roman" w:hAnsi="Times New Roman"/>
          <w:sz w:val="28"/>
          <w:szCs w:val="28"/>
        </w:rPr>
        <w:t xml:space="preserve"> объективностью принятия и полнотой исполнения расходных обязательств, Минфином ЧР осуществлялись мероприятия по ведению реестра расходных обязательств республиканского уровня и свода реестра расходных обязательств муниципальных образований. Данная работа позволяла препятствовать принятию </w:t>
      </w:r>
      <w:r>
        <w:rPr>
          <w:rFonts w:ascii="Times New Roman" w:hAnsi="Times New Roman"/>
          <w:sz w:val="28"/>
          <w:szCs w:val="28"/>
        </w:rPr>
        <w:lastRenderedPageBreak/>
        <w:t xml:space="preserve">уполномоченными органами власти необоснованных расходных обязательств, что в условиях </w:t>
      </w:r>
      <w:proofErr w:type="spellStart"/>
      <w:r>
        <w:rPr>
          <w:rFonts w:ascii="Times New Roman" w:hAnsi="Times New Roman"/>
          <w:sz w:val="28"/>
          <w:szCs w:val="28"/>
        </w:rPr>
        <w:t>высокодотационности</w:t>
      </w:r>
      <w:proofErr w:type="spellEnd"/>
      <w:r>
        <w:rPr>
          <w:rFonts w:ascii="Times New Roman" w:hAnsi="Times New Roman"/>
          <w:sz w:val="28"/>
          <w:szCs w:val="28"/>
        </w:rPr>
        <w:t xml:space="preserve"> Чеченской Республики является важным ограничением, вытекающим из 130 и 136 статей Бюджетного кодекса Российской Федерации.</w:t>
      </w:r>
    </w:p>
    <w:p w:rsidR="00393FA9" w:rsidRDefault="00393FA9" w:rsidP="000D6B0B">
      <w:pPr>
        <w:spacing w:after="0" w:line="360" w:lineRule="auto"/>
        <w:ind w:firstLine="709"/>
        <w:jc w:val="both"/>
        <w:rPr>
          <w:rFonts w:ascii="Times New Roman" w:hAnsi="Times New Roman"/>
          <w:sz w:val="28"/>
          <w:szCs w:val="28"/>
        </w:rPr>
      </w:pPr>
      <w:r>
        <w:rPr>
          <w:rFonts w:ascii="Times New Roman" w:hAnsi="Times New Roman"/>
          <w:sz w:val="28"/>
          <w:szCs w:val="28"/>
        </w:rPr>
        <w:t>Важным направлением работы министерства в прошедшем году было совершенствование бюджетного процесса. В данном направлении продолжалась работа по внедрению программно-целевых методов планирования и исполнения бюджета, а также дальнейшее развитие автоматизированных систем в сфере бюджетных финансов.</w:t>
      </w:r>
    </w:p>
    <w:p w:rsidR="00393FA9" w:rsidRDefault="00A11141" w:rsidP="000D6B0B">
      <w:pPr>
        <w:spacing w:after="0" w:line="360" w:lineRule="auto"/>
        <w:ind w:firstLine="709"/>
        <w:jc w:val="both"/>
        <w:rPr>
          <w:rFonts w:ascii="Times New Roman" w:hAnsi="Times New Roman"/>
          <w:sz w:val="28"/>
          <w:szCs w:val="28"/>
        </w:rPr>
      </w:pPr>
      <w:r>
        <w:rPr>
          <w:rFonts w:ascii="Times New Roman" w:hAnsi="Times New Roman"/>
          <w:sz w:val="28"/>
          <w:szCs w:val="28"/>
        </w:rPr>
        <w:t>Значимым</w:t>
      </w:r>
      <w:r w:rsidR="00393FA9">
        <w:rPr>
          <w:rFonts w:ascii="Times New Roman" w:hAnsi="Times New Roman"/>
          <w:sz w:val="28"/>
          <w:szCs w:val="28"/>
        </w:rPr>
        <w:t xml:space="preserve"> </w:t>
      </w:r>
      <w:r w:rsidR="00840DEE">
        <w:rPr>
          <w:rFonts w:ascii="Times New Roman" w:hAnsi="Times New Roman"/>
          <w:sz w:val="28"/>
          <w:szCs w:val="28"/>
        </w:rPr>
        <w:t>событием</w:t>
      </w:r>
      <w:r w:rsidR="00393FA9">
        <w:rPr>
          <w:rFonts w:ascii="Times New Roman" w:hAnsi="Times New Roman"/>
          <w:sz w:val="28"/>
          <w:szCs w:val="28"/>
        </w:rPr>
        <w:t xml:space="preserve"> в 2012 году стало </w:t>
      </w:r>
      <w:r w:rsidR="00840DEE">
        <w:rPr>
          <w:rFonts w:ascii="Times New Roman" w:hAnsi="Times New Roman"/>
          <w:sz w:val="28"/>
          <w:szCs w:val="28"/>
        </w:rPr>
        <w:t xml:space="preserve">участие </w:t>
      </w:r>
      <w:r w:rsidR="00393FA9">
        <w:rPr>
          <w:rFonts w:ascii="Times New Roman" w:hAnsi="Times New Roman"/>
          <w:sz w:val="28"/>
          <w:szCs w:val="28"/>
        </w:rPr>
        <w:t xml:space="preserve">Чеченской Республики </w:t>
      </w:r>
      <w:r>
        <w:rPr>
          <w:rFonts w:ascii="Times New Roman" w:hAnsi="Times New Roman"/>
          <w:sz w:val="28"/>
          <w:szCs w:val="28"/>
        </w:rPr>
        <w:t>на</w:t>
      </w:r>
      <w:r w:rsidR="00393FA9">
        <w:rPr>
          <w:rFonts w:ascii="Times New Roman" w:hAnsi="Times New Roman"/>
          <w:sz w:val="28"/>
          <w:szCs w:val="28"/>
        </w:rPr>
        <w:t xml:space="preserve"> всероссийском конкурсе на распределение субсидий из федерального Фонда реформирования региональных и муниципальных финансов</w:t>
      </w:r>
      <w:r w:rsidR="00840DEE">
        <w:rPr>
          <w:rFonts w:ascii="Times New Roman" w:hAnsi="Times New Roman"/>
          <w:sz w:val="28"/>
          <w:szCs w:val="28"/>
        </w:rPr>
        <w:t>, по результатам которого она заняла первое место</w:t>
      </w:r>
      <w:r w:rsidR="00393FA9">
        <w:rPr>
          <w:rFonts w:ascii="Times New Roman" w:hAnsi="Times New Roman"/>
          <w:sz w:val="28"/>
          <w:szCs w:val="28"/>
        </w:rPr>
        <w:t>. Это явилось итогом совместной работы всех участником бюджетного процесса во</w:t>
      </w:r>
      <w:r>
        <w:rPr>
          <w:rFonts w:ascii="Times New Roman" w:hAnsi="Times New Roman"/>
          <w:sz w:val="28"/>
          <w:szCs w:val="28"/>
        </w:rPr>
        <w:t xml:space="preserve"> </w:t>
      </w:r>
      <w:proofErr w:type="gramStart"/>
      <w:r w:rsidR="00393FA9">
        <w:rPr>
          <w:rFonts w:ascii="Times New Roman" w:hAnsi="Times New Roman"/>
          <w:sz w:val="28"/>
          <w:szCs w:val="28"/>
        </w:rPr>
        <w:t>главе</w:t>
      </w:r>
      <w:proofErr w:type="gramEnd"/>
      <w:r w:rsidR="00393FA9">
        <w:rPr>
          <w:rFonts w:ascii="Times New Roman" w:hAnsi="Times New Roman"/>
          <w:sz w:val="28"/>
          <w:szCs w:val="28"/>
        </w:rPr>
        <w:t xml:space="preserve"> </w:t>
      </w:r>
      <w:r>
        <w:rPr>
          <w:rFonts w:ascii="Times New Roman" w:hAnsi="Times New Roman"/>
          <w:sz w:val="28"/>
          <w:szCs w:val="28"/>
        </w:rPr>
        <w:t>которой стоял</w:t>
      </w:r>
      <w:r w:rsidR="00393FA9">
        <w:rPr>
          <w:rFonts w:ascii="Times New Roman" w:hAnsi="Times New Roman"/>
          <w:sz w:val="28"/>
          <w:szCs w:val="28"/>
        </w:rPr>
        <w:t xml:space="preserve"> республикански</w:t>
      </w:r>
      <w:r>
        <w:rPr>
          <w:rFonts w:ascii="Times New Roman" w:hAnsi="Times New Roman"/>
          <w:sz w:val="28"/>
          <w:szCs w:val="28"/>
        </w:rPr>
        <w:t>й</w:t>
      </w:r>
      <w:r w:rsidR="00393FA9">
        <w:rPr>
          <w:rFonts w:ascii="Times New Roman" w:hAnsi="Times New Roman"/>
          <w:sz w:val="28"/>
          <w:szCs w:val="28"/>
        </w:rPr>
        <w:t xml:space="preserve"> Минфин.</w:t>
      </w:r>
    </w:p>
    <w:p w:rsidR="00393FA9" w:rsidRPr="000D6B0B" w:rsidRDefault="00A11141" w:rsidP="000D6B0B">
      <w:pPr>
        <w:spacing w:after="0" w:line="360" w:lineRule="auto"/>
        <w:ind w:firstLine="709"/>
        <w:jc w:val="both"/>
        <w:rPr>
          <w:rFonts w:ascii="Times New Roman" w:hAnsi="Times New Roman" w:cs="Times New Roman"/>
          <w:sz w:val="28"/>
          <w:szCs w:val="28"/>
        </w:rPr>
      </w:pPr>
      <w:r>
        <w:rPr>
          <w:rFonts w:ascii="Times New Roman" w:hAnsi="Times New Roman"/>
          <w:sz w:val="28"/>
          <w:szCs w:val="28"/>
        </w:rPr>
        <w:t>Обеспечение развития социально-экономического потенциала нашего региона определено как основное направлением деятельности Министерства финансов Чеченской Республики. И говоря об</w:t>
      </w:r>
      <w:r w:rsidR="00393FA9">
        <w:rPr>
          <w:rFonts w:ascii="Times New Roman" w:hAnsi="Times New Roman"/>
          <w:sz w:val="28"/>
          <w:szCs w:val="28"/>
        </w:rPr>
        <w:t xml:space="preserve"> итога</w:t>
      </w:r>
      <w:r>
        <w:rPr>
          <w:rFonts w:ascii="Times New Roman" w:hAnsi="Times New Roman"/>
          <w:sz w:val="28"/>
          <w:szCs w:val="28"/>
        </w:rPr>
        <w:t>х</w:t>
      </w:r>
      <w:r w:rsidR="00393FA9">
        <w:rPr>
          <w:rFonts w:ascii="Times New Roman" w:hAnsi="Times New Roman"/>
          <w:sz w:val="28"/>
          <w:szCs w:val="28"/>
        </w:rPr>
        <w:t xml:space="preserve"> года</w:t>
      </w:r>
      <w:r>
        <w:rPr>
          <w:rFonts w:ascii="Times New Roman" w:hAnsi="Times New Roman"/>
          <w:sz w:val="28"/>
          <w:szCs w:val="28"/>
        </w:rPr>
        <w:t>,</w:t>
      </w:r>
      <w:r w:rsidR="00393FA9">
        <w:rPr>
          <w:rFonts w:ascii="Times New Roman" w:hAnsi="Times New Roman"/>
          <w:sz w:val="28"/>
          <w:szCs w:val="28"/>
        </w:rPr>
        <w:t xml:space="preserve"> республике удалось сохранить на приемлемом уровне основные социально-экономические показатели, это, в свою очередь, является важным результатом функционирования системы государственных финансов в</w:t>
      </w:r>
      <w:r>
        <w:rPr>
          <w:rFonts w:ascii="Times New Roman" w:hAnsi="Times New Roman"/>
          <w:sz w:val="28"/>
          <w:szCs w:val="28"/>
        </w:rPr>
        <w:t> </w:t>
      </w:r>
      <w:r w:rsidR="00393FA9">
        <w:rPr>
          <w:rFonts w:ascii="Times New Roman" w:hAnsi="Times New Roman"/>
          <w:sz w:val="28"/>
          <w:szCs w:val="28"/>
        </w:rPr>
        <w:t>2012</w:t>
      </w:r>
      <w:r>
        <w:rPr>
          <w:rFonts w:ascii="Times New Roman" w:hAnsi="Times New Roman"/>
          <w:sz w:val="28"/>
          <w:szCs w:val="28"/>
        </w:rPr>
        <w:t> </w:t>
      </w:r>
      <w:r w:rsidR="00393FA9">
        <w:rPr>
          <w:rFonts w:ascii="Times New Roman" w:hAnsi="Times New Roman"/>
          <w:sz w:val="28"/>
          <w:szCs w:val="28"/>
        </w:rPr>
        <w:t>году.</w:t>
      </w:r>
      <w:r>
        <w:rPr>
          <w:rFonts w:ascii="Times New Roman" w:hAnsi="Times New Roman"/>
          <w:sz w:val="28"/>
          <w:szCs w:val="28"/>
        </w:rPr>
        <w:t xml:space="preserve"> </w:t>
      </w:r>
    </w:p>
    <w:p w:rsidR="00645BAF" w:rsidRDefault="00645BAF">
      <w:pPr>
        <w:rPr>
          <w:rFonts w:ascii="Times New Roman" w:hAnsi="Times New Roman" w:cs="Times New Roman"/>
          <w:sz w:val="28"/>
          <w:szCs w:val="28"/>
        </w:rPr>
      </w:pPr>
      <w:r>
        <w:rPr>
          <w:rFonts w:ascii="Times New Roman" w:hAnsi="Times New Roman" w:cs="Times New Roman"/>
          <w:sz w:val="28"/>
          <w:szCs w:val="28"/>
        </w:rPr>
        <w:br w:type="page"/>
      </w:r>
    </w:p>
    <w:p w:rsidR="000D6B0B" w:rsidRPr="009F63F3" w:rsidRDefault="00CA02E4" w:rsidP="009F63F3">
      <w:pPr>
        <w:spacing w:after="0" w:line="360" w:lineRule="auto"/>
        <w:jc w:val="center"/>
        <w:rPr>
          <w:rFonts w:ascii="Times New Roman" w:hAnsi="Times New Roman" w:cs="Times New Roman"/>
          <w:b/>
          <w:sz w:val="28"/>
          <w:szCs w:val="28"/>
        </w:rPr>
      </w:pPr>
      <w:r w:rsidRPr="009F63F3">
        <w:rPr>
          <w:rFonts w:ascii="Times New Roman" w:hAnsi="Times New Roman" w:cs="Times New Roman"/>
          <w:b/>
          <w:sz w:val="28"/>
          <w:szCs w:val="28"/>
        </w:rPr>
        <w:lastRenderedPageBreak/>
        <w:t>М</w:t>
      </w:r>
      <w:r w:rsidR="002F61CA" w:rsidRPr="009F63F3">
        <w:rPr>
          <w:rFonts w:ascii="Times New Roman" w:hAnsi="Times New Roman" w:cs="Times New Roman"/>
          <w:b/>
          <w:sz w:val="28"/>
          <w:szCs w:val="28"/>
        </w:rPr>
        <w:t>иров</w:t>
      </w:r>
      <w:r w:rsidRPr="009F63F3">
        <w:rPr>
          <w:rFonts w:ascii="Times New Roman" w:hAnsi="Times New Roman" w:cs="Times New Roman"/>
          <w:b/>
          <w:sz w:val="28"/>
          <w:szCs w:val="28"/>
        </w:rPr>
        <w:t>ая</w:t>
      </w:r>
      <w:r w:rsidR="002F61CA" w:rsidRPr="009F63F3">
        <w:rPr>
          <w:rFonts w:ascii="Times New Roman" w:hAnsi="Times New Roman" w:cs="Times New Roman"/>
          <w:b/>
          <w:sz w:val="28"/>
          <w:szCs w:val="28"/>
        </w:rPr>
        <w:t xml:space="preserve"> экономик</w:t>
      </w:r>
      <w:r w:rsidRPr="009F63F3">
        <w:rPr>
          <w:rFonts w:ascii="Times New Roman" w:hAnsi="Times New Roman" w:cs="Times New Roman"/>
          <w:b/>
          <w:sz w:val="28"/>
          <w:szCs w:val="28"/>
        </w:rPr>
        <w:t>а</w:t>
      </w:r>
    </w:p>
    <w:p w:rsidR="00CA02E4" w:rsidRDefault="00CA02E4" w:rsidP="000D6B0B">
      <w:pPr>
        <w:spacing w:after="0" w:line="360" w:lineRule="auto"/>
        <w:ind w:firstLine="709"/>
        <w:jc w:val="both"/>
        <w:rPr>
          <w:rFonts w:ascii="Times New Roman" w:hAnsi="Times New Roman" w:cs="Times New Roman"/>
          <w:sz w:val="28"/>
          <w:szCs w:val="28"/>
        </w:rPr>
      </w:pPr>
    </w:p>
    <w:p w:rsidR="00CA02E4" w:rsidRDefault="002C42A6"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Развитие мировой экономики в 2012 году сопровождалось нестабильностью основных макроэкономических показателей</w:t>
      </w:r>
      <w:r w:rsidR="00CD2216">
        <w:rPr>
          <w:rFonts w:ascii="Times New Roman" w:hAnsi="Times New Roman" w:cs="Times New Roman"/>
          <w:sz w:val="28"/>
          <w:szCs w:val="28"/>
        </w:rPr>
        <w:t xml:space="preserve"> и волатильностью индексов фондовых рынков</w:t>
      </w:r>
      <w:r>
        <w:rPr>
          <w:rFonts w:ascii="Times New Roman" w:hAnsi="Times New Roman" w:cs="Times New Roman"/>
          <w:sz w:val="28"/>
          <w:szCs w:val="28"/>
        </w:rPr>
        <w:t xml:space="preserve">. Общий тренд событий был определен </w:t>
      </w:r>
      <w:r w:rsidR="00C713D6">
        <w:rPr>
          <w:rFonts w:ascii="Times New Roman" w:hAnsi="Times New Roman" w:cs="Times New Roman"/>
          <w:sz w:val="28"/>
          <w:szCs w:val="28"/>
        </w:rPr>
        <w:t>негативными ожиданиями «фискального обрыва» в США, который ожидался в начале 2013 года, а также отсутствием улучшений в экономике Еврозоны</w:t>
      </w:r>
      <w:r w:rsidR="00AE793E">
        <w:rPr>
          <w:rFonts w:ascii="Times New Roman" w:hAnsi="Times New Roman" w:cs="Times New Roman"/>
          <w:sz w:val="28"/>
          <w:szCs w:val="28"/>
        </w:rPr>
        <w:t xml:space="preserve"> не смотря на все усилия директивных органов Европы. В целом </w:t>
      </w:r>
      <w:r w:rsidR="00CD2216">
        <w:rPr>
          <w:rFonts w:ascii="Times New Roman" w:hAnsi="Times New Roman" w:cs="Times New Roman"/>
          <w:sz w:val="28"/>
          <w:szCs w:val="28"/>
        </w:rPr>
        <w:t xml:space="preserve">общемировой </w:t>
      </w:r>
      <w:r w:rsidR="00AE793E">
        <w:rPr>
          <w:rFonts w:ascii="Times New Roman" w:hAnsi="Times New Roman" w:cs="Times New Roman"/>
          <w:sz w:val="28"/>
          <w:szCs w:val="28"/>
        </w:rPr>
        <w:t>ВВП по итогам 2012 года вырос на 3,3%</w:t>
      </w:r>
      <w:r w:rsidR="00683C5B">
        <w:rPr>
          <w:rFonts w:ascii="Times New Roman" w:hAnsi="Times New Roman" w:cs="Times New Roman"/>
          <w:sz w:val="28"/>
          <w:szCs w:val="28"/>
        </w:rPr>
        <w:t xml:space="preserve"> и был близок к прогнозу МВФ, опубликованному в январе 2012 года</w:t>
      </w:r>
      <w:r w:rsidR="004E3867">
        <w:rPr>
          <w:rFonts w:ascii="Times New Roman" w:hAnsi="Times New Roman" w:cs="Times New Roman"/>
          <w:sz w:val="28"/>
          <w:szCs w:val="28"/>
        </w:rPr>
        <w:t xml:space="preserve"> – </w:t>
      </w:r>
      <w:r w:rsidR="00683C5B">
        <w:rPr>
          <w:rFonts w:ascii="Times New Roman" w:hAnsi="Times New Roman" w:cs="Times New Roman"/>
          <w:sz w:val="28"/>
          <w:szCs w:val="28"/>
        </w:rPr>
        <w:t>3,25%</w:t>
      </w:r>
      <w:r w:rsidR="00AE793E">
        <w:rPr>
          <w:rFonts w:ascii="Times New Roman" w:hAnsi="Times New Roman" w:cs="Times New Roman"/>
          <w:sz w:val="28"/>
          <w:szCs w:val="28"/>
        </w:rPr>
        <w:t>.</w:t>
      </w:r>
      <w:r w:rsidR="00C713D6">
        <w:rPr>
          <w:rFonts w:ascii="Times New Roman" w:hAnsi="Times New Roman" w:cs="Times New Roman"/>
          <w:sz w:val="28"/>
          <w:szCs w:val="28"/>
        </w:rPr>
        <w:t xml:space="preserve"> </w:t>
      </w:r>
    </w:p>
    <w:p w:rsidR="00D529E2" w:rsidRDefault="00D529E2" w:rsidP="00D529E2">
      <w:pPr>
        <w:spacing w:after="0" w:line="360" w:lineRule="auto"/>
        <w:jc w:val="both"/>
        <w:rPr>
          <w:rFonts w:ascii="Times New Roman" w:hAnsi="Times New Roman" w:cs="Times New Roman"/>
          <w:sz w:val="28"/>
          <w:szCs w:val="28"/>
        </w:rPr>
      </w:pPr>
      <w:r>
        <w:rPr>
          <w:noProof/>
          <w:lang w:eastAsia="ru-RU"/>
        </w:rPr>
        <w:drawing>
          <wp:inline distT="0" distB="0" distL="0" distR="0" wp14:anchorId="2591B489" wp14:editId="42D8DE30">
            <wp:extent cx="6085210" cy="2888856"/>
            <wp:effectExtent l="0" t="0" r="0" b="6985"/>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529E2" w:rsidRDefault="00DF7D0C" w:rsidP="00DF7D0C">
      <w:pPr>
        <w:spacing w:after="0" w:line="360" w:lineRule="auto"/>
        <w:jc w:val="both"/>
        <w:rPr>
          <w:rFonts w:ascii="Times New Roman" w:hAnsi="Times New Roman" w:cs="Times New Roman"/>
          <w:sz w:val="28"/>
          <w:szCs w:val="28"/>
        </w:rPr>
      </w:pPr>
      <w:r>
        <w:rPr>
          <w:noProof/>
          <w:lang w:eastAsia="ru-RU"/>
        </w:rPr>
        <w:drawing>
          <wp:inline distT="0" distB="0" distL="0" distR="0" wp14:anchorId="0430977C" wp14:editId="57302F5C">
            <wp:extent cx="5947646" cy="2977869"/>
            <wp:effectExtent l="0" t="0" r="0" b="0"/>
            <wp:docPr id="6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bl>
      <w:tblPr>
        <w:tblW w:w="8960" w:type="dxa"/>
        <w:tblInd w:w="93" w:type="dxa"/>
        <w:tblLook w:val="04A0" w:firstRow="1" w:lastRow="0" w:firstColumn="1" w:lastColumn="0" w:noHBand="0" w:noVBand="1"/>
      </w:tblPr>
      <w:tblGrid>
        <w:gridCol w:w="1960"/>
        <w:gridCol w:w="1320"/>
        <w:gridCol w:w="1233"/>
        <w:gridCol w:w="1297"/>
        <w:gridCol w:w="1163"/>
        <w:gridCol w:w="1120"/>
        <w:gridCol w:w="1223"/>
      </w:tblGrid>
      <w:tr w:rsidR="00DF7D0C" w:rsidRPr="00D529E2" w:rsidTr="00EA462B">
        <w:trPr>
          <w:trHeight w:val="675"/>
        </w:trPr>
        <w:tc>
          <w:tcPr>
            <w:tcW w:w="8960" w:type="dxa"/>
            <w:gridSpan w:val="7"/>
            <w:tcBorders>
              <w:top w:val="nil"/>
              <w:left w:val="nil"/>
              <w:bottom w:val="nil"/>
              <w:right w:val="nil"/>
            </w:tcBorders>
            <w:shd w:val="clear" w:color="auto" w:fill="auto"/>
            <w:noWrap/>
            <w:vAlign w:val="bottom"/>
            <w:hideMark/>
          </w:tcPr>
          <w:p w:rsidR="00DF7D0C" w:rsidRPr="00D529E2" w:rsidRDefault="00DF7D0C" w:rsidP="00EA462B">
            <w:pPr>
              <w:spacing w:after="0" w:line="240" w:lineRule="auto"/>
              <w:jc w:val="center"/>
              <w:rPr>
                <w:rFonts w:ascii="Times New Roman" w:eastAsia="Times New Roman" w:hAnsi="Times New Roman" w:cs="Times New Roman"/>
                <w:b/>
                <w:bCs/>
                <w:color w:val="000000"/>
                <w:sz w:val="26"/>
                <w:szCs w:val="26"/>
                <w:lang w:eastAsia="ru-RU"/>
              </w:rPr>
            </w:pPr>
            <w:r w:rsidRPr="00D529E2">
              <w:rPr>
                <w:rFonts w:ascii="Times New Roman" w:eastAsia="Times New Roman" w:hAnsi="Times New Roman" w:cs="Times New Roman"/>
                <w:b/>
                <w:bCs/>
                <w:color w:val="000000"/>
                <w:sz w:val="26"/>
                <w:szCs w:val="26"/>
                <w:lang w:eastAsia="ru-RU"/>
              </w:rPr>
              <w:lastRenderedPageBreak/>
              <w:t>Характеристика стран G20 (по состоянию на 2012 год)</w:t>
            </w:r>
          </w:p>
        </w:tc>
      </w:tr>
      <w:tr w:rsidR="00DF7D0C" w:rsidRPr="00D529E2" w:rsidTr="00EA462B">
        <w:trPr>
          <w:trHeight w:val="300"/>
        </w:trPr>
        <w:tc>
          <w:tcPr>
            <w:tcW w:w="1960"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c>
          <w:tcPr>
            <w:tcW w:w="1300"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c>
          <w:tcPr>
            <w:tcW w:w="1140"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c>
          <w:tcPr>
            <w:tcW w:w="1240"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c>
          <w:tcPr>
            <w:tcW w:w="1163"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c>
          <w:tcPr>
            <w:tcW w:w="1120"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c>
          <w:tcPr>
            <w:tcW w:w="1037" w:type="dxa"/>
            <w:tcBorders>
              <w:top w:val="nil"/>
              <w:left w:val="nil"/>
              <w:bottom w:val="nil"/>
              <w:right w:val="nil"/>
            </w:tcBorders>
            <w:shd w:val="clear" w:color="auto" w:fill="auto"/>
            <w:noWrap/>
            <w:vAlign w:val="bottom"/>
            <w:hideMark/>
          </w:tcPr>
          <w:p w:rsidR="00DF7D0C" w:rsidRPr="00D529E2" w:rsidRDefault="00DF7D0C" w:rsidP="00EA462B">
            <w:pPr>
              <w:spacing w:after="0" w:line="240" w:lineRule="auto"/>
              <w:rPr>
                <w:rFonts w:ascii="Calibri" w:eastAsia="Times New Roman" w:hAnsi="Calibri" w:cs="Calibri"/>
                <w:color w:val="000000"/>
                <w:lang w:eastAsia="ru-RU"/>
              </w:rPr>
            </w:pPr>
          </w:p>
        </w:tc>
      </w:tr>
      <w:tr w:rsidR="00DF7D0C" w:rsidRPr="00D529E2" w:rsidTr="00EA462B">
        <w:trPr>
          <w:trHeight w:val="2085"/>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r w:rsidRPr="00D529E2">
              <w:rPr>
                <w:rFonts w:ascii="Times New Roman" w:eastAsia="Times New Roman" w:hAnsi="Times New Roman" w:cs="Times New Roman"/>
                <w:b/>
                <w:bCs/>
                <w:color w:val="000000"/>
                <w:lang w:eastAsia="ru-RU"/>
              </w:rPr>
              <w:t>Страны</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r w:rsidRPr="00D529E2">
              <w:rPr>
                <w:rFonts w:ascii="Times New Roman" w:eastAsia="Times New Roman" w:hAnsi="Times New Roman" w:cs="Times New Roman"/>
                <w:b/>
                <w:bCs/>
                <w:color w:val="000000"/>
                <w:lang w:eastAsia="ru-RU"/>
              </w:rPr>
              <w:t>Население, млн. человек</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r w:rsidRPr="00D529E2">
              <w:rPr>
                <w:rFonts w:ascii="Times New Roman" w:eastAsia="Times New Roman" w:hAnsi="Times New Roman" w:cs="Times New Roman"/>
                <w:b/>
                <w:bCs/>
                <w:color w:val="000000"/>
                <w:lang w:eastAsia="ru-RU"/>
              </w:rPr>
              <w:t>Размер реального ВВП, млрд. долларов США</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r w:rsidRPr="00D529E2">
              <w:rPr>
                <w:rFonts w:ascii="Times New Roman" w:eastAsia="Times New Roman" w:hAnsi="Times New Roman" w:cs="Times New Roman"/>
                <w:b/>
                <w:bCs/>
                <w:color w:val="000000"/>
                <w:lang w:eastAsia="ru-RU"/>
              </w:rPr>
              <w:t>Размер ВВП на душу населения, тыс. долларов США</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proofErr w:type="spellStart"/>
            <w:r w:rsidRPr="00D529E2">
              <w:rPr>
                <w:rFonts w:ascii="Times New Roman" w:eastAsia="Times New Roman" w:hAnsi="Times New Roman" w:cs="Times New Roman"/>
                <w:b/>
                <w:bCs/>
                <w:color w:val="000000"/>
                <w:lang w:eastAsia="ru-RU"/>
              </w:rPr>
              <w:t>Инфл</w:t>
            </w:r>
            <w:proofErr w:type="gramStart"/>
            <w:r w:rsidRPr="00D529E2">
              <w:rPr>
                <w:rFonts w:ascii="Times New Roman" w:eastAsia="Times New Roman" w:hAnsi="Times New Roman" w:cs="Times New Roman"/>
                <w:b/>
                <w:bCs/>
                <w:color w:val="000000"/>
                <w:lang w:eastAsia="ru-RU"/>
              </w:rPr>
              <w:t>я</w:t>
            </w:r>
            <w:proofErr w:type="spellEnd"/>
            <w:r w:rsidRPr="00D529E2">
              <w:rPr>
                <w:rFonts w:ascii="Times New Roman" w:eastAsia="Times New Roman" w:hAnsi="Times New Roman" w:cs="Times New Roman"/>
                <w:b/>
                <w:bCs/>
                <w:color w:val="000000"/>
                <w:lang w:eastAsia="ru-RU"/>
              </w:rPr>
              <w:t>-</w:t>
            </w:r>
            <w:proofErr w:type="gramEnd"/>
            <w:r w:rsidRPr="00D529E2">
              <w:rPr>
                <w:rFonts w:ascii="Times New Roman" w:eastAsia="Times New Roman" w:hAnsi="Times New Roman" w:cs="Times New Roman"/>
                <w:b/>
                <w:bCs/>
                <w:color w:val="000000"/>
                <w:lang w:eastAsia="ru-RU"/>
              </w:rPr>
              <w:t xml:space="preserve"> </w:t>
            </w:r>
            <w:proofErr w:type="spellStart"/>
            <w:r w:rsidRPr="00D529E2">
              <w:rPr>
                <w:rFonts w:ascii="Times New Roman" w:eastAsia="Times New Roman" w:hAnsi="Times New Roman" w:cs="Times New Roman"/>
                <w:b/>
                <w:bCs/>
                <w:color w:val="000000"/>
                <w:lang w:eastAsia="ru-RU"/>
              </w:rPr>
              <w:t>ция</w:t>
            </w:r>
            <w:proofErr w:type="spellEnd"/>
            <w:r w:rsidRPr="00D529E2">
              <w:rPr>
                <w:rFonts w:ascii="Times New Roman" w:eastAsia="Times New Roman" w:hAnsi="Times New Roman" w:cs="Times New Roman"/>
                <w:b/>
                <w:bCs/>
                <w:color w:val="000000"/>
                <w:lang w:eastAsia="ru-RU"/>
              </w:rPr>
              <w:t>, %</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r w:rsidRPr="00D529E2">
              <w:rPr>
                <w:rFonts w:ascii="Times New Roman" w:eastAsia="Times New Roman" w:hAnsi="Times New Roman" w:cs="Times New Roman"/>
                <w:b/>
                <w:bCs/>
                <w:color w:val="000000"/>
                <w:lang w:eastAsia="ru-RU"/>
              </w:rPr>
              <w:t xml:space="preserve">Уровень </w:t>
            </w:r>
            <w:proofErr w:type="spellStart"/>
            <w:r w:rsidRPr="00D529E2">
              <w:rPr>
                <w:rFonts w:ascii="Times New Roman" w:eastAsia="Times New Roman" w:hAnsi="Times New Roman" w:cs="Times New Roman"/>
                <w:b/>
                <w:bCs/>
                <w:color w:val="000000"/>
                <w:lang w:eastAsia="ru-RU"/>
              </w:rPr>
              <w:t>безраб</w:t>
            </w:r>
            <w:proofErr w:type="gramStart"/>
            <w:r w:rsidRPr="00D529E2">
              <w:rPr>
                <w:rFonts w:ascii="Times New Roman" w:eastAsia="Times New Roman" w:hAnsi="Times New Roman" w:cs="Times New Roman"/>
                <w:b/>
                <w:bCs/>
                <w:color w:val="000000"/>
                <w:lang w:eastAsia="ru-RU"/>
              </w:rPr>
              <w:t>о</w:t>
            </w:r>
            <w:proofErr w:type="spellEnd"/>
            <w:r w:rsidRPr="00D529E2">
              <w:rPr>
                <w:rFonts w:ascii="Times New Roman" w:eastAsia="Times New Roman" w:hAnsi="Times New Roman" w:cs="Times New Roman"/>
                <w:b/>
                <w:bCs/>
                <w:color w:val="000000"/>
                <w:lang w:eastAsia="ru-RU"/>
              </w:rPr>
              <w:t>-</w:t>
            </w:r>
            <w:proofErr w:type="gramEnd"/>
            <w:r w:rsidRPr="00D529E2">
              <w:rPr>
                <w:rFonts w:ascii="Times New Roman" w:eastAsia="Times New Roman" w:hAnsi="Times New Roman" w:cs="Times New Roman"/>
                <w:b/>
                <w:bCs/>
                <w:color w:val="000000"/>
                <w:lang w:eastAsia="ru-RU"/>
              </w:rPr>
              <w:t xml:space="preserve"> </w:t>
            </w:r>
            <w:proofErr w:type="spellStart"/>
            <w:r w:rsidRPr="00D529E2">
              <w:rPr>
                <w:rFonts w:ascii="Times New Roman" w:eastAsia="Times New Roman" w:hAnsi="Times New Roman" w:cs="Times New Roman"/>
                <w:b/>
                <w:bCs/>
                <w:color w:val="000000"/>
                <w:lang w:eastAsia="ru-RU"/>
              </w:rPr>
              <w:t>тицы</w:t>
            </w:r>
            <w:proofErr w:type="spellEnd"/>
            <w:r w:rsidRPr="00D529E2">
              <w:rPr>
                <w:rFonts w:ascii="Times New Roman" w:eastAsia="Times New Roman" w:hAnsi="Times New Roman" w:cs="Times New Roman"/>
                <w:b/>
                <w:bCs/>
                <w:color w:val="000000"/>
                <w:lang w:eastAsia="ru-RU"/>
              </w:rP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rsidR="00DF7D0C" w:rsidRPr="00D529E2" w:rsidRDefault="00DF7D0C" w:rsidP="00EA462B">
            <w:pPr>
              <w:spacing w:after="0" w:line="240" w:lineRule="auto"/>
              <w:jc w:val="center"/>
              <w:rPr>
                <w:rFonts w:ascii="Times New Roman" w:eastAsia="Times New Roman" w:hAnsi="Times New Roman" w:cs="Times New Roman"/>
                <w:b/>
                <w:bCs/>
                <w:color w:val="000000"/>
                <w:lang w:eastAsia="ru-RU"/>
              </w:rPr>
            </w:pPr>
            <w:r w:rsidRPr="00D529E2">
              <w:rPr>
                <w:rFonts w:ascii="Times New Roman" w:eastAsia="Times New Roman" w:hAnsi="Times New Roman" w:cs="Times New Roman"/>
                <w:b/>
                <w:bCs/>
                <w:color w:val="000000"/>
                <w:lang w:eastAsia="ru-RU"/>
              </w:rPr>
              <w:t>Торговый баланс, млрд. долларов США</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Австралия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22</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1542</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70,1</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2,1</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5,2</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24,2</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Аргентина</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42,2</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474,8</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11,3</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25</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7,2</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18,1</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Бразилия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205,7</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2425</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11,8</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5,5</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6,2</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3,2</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Великобритания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63</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2434</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38,6</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2,8</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7,8</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-165</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Германия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81,3</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3367</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41,4</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6,5</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216</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Индия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1205,1</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1947</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1,6</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9,2</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9,9</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-191,2</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Индонезия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248,2</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894,9</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3,6</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4,5</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6,1</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9,7</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Италия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61,3</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1980</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32,3</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10,9</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13,6</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Канада</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34,3</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1770</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51,6</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1,8</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7,3</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0,8</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Китай</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1343,2</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8250</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6,1</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2,6</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6,4</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233</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Мексика</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115</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1163</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10,1</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3,6</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-8,5</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Россия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143</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1954</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13,7</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5,1</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5,7</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195,3</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Саудовская Аравия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26,5</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657</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24,8</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4,6</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10,7</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244,7</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США</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313,8</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15650</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49,9</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8,2</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-745</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Турция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79,7</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783,1</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9,8</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9,1</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-71,4</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Франция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65,6</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2580</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39,3</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1,3</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10,3</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-91,4</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ЮАР</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48,8</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390,9</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8</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5,2</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22,7</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-5,6</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Южная Корея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48,9</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1151</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23,5</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2,2</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3,2</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38,4</w:t>
            </w:r>
          </w:p>
        </w:tc>
      </w:tr>
      <w:tr w:rsidR="00DF7D0C" w:rsidRPr="00D529E2" w:rsidTr="00EA462B">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Япония</w:t>
            </w:r>
          </w:p>
        </w:tc>
        <w:tc>
          <w:tcPr>
            <w:tcW w:w="130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127,4</w:t>
            </w:r>
          </w:p>
        </w:tc>
        <w:tc>
          <w:tcPr>
            <w:tcW w:w="11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5984</w:t>
            </w:r>
          </w:p>
        </w:tc>
        <w:tc>
          <w:tcPr>
            <w:tcW w:w="124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47</w:t>
            </w:r>
          </w:p>
        </w:tc>
        <w:tc>
          <w:tcPr>
            <w:tcW w:w="1163"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0,1</w:t>
            </w:r>
          </w:p>
        </w:tc>
        <w:tc>
          <w:tcPr>
            <w:tcW w:w="1120"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4,4</w:t>
            </w:r>
          </w:p>
        </w:tc>
        <w:tc>
          <w:tcPr>
            <w:tcW w:w="1037" w:type="dxa"/>
            <w:tcBorders>
              <w:top w:val="nil"/>
              <w:left w:val="nil"/>
              <w:bottom w:val="single" w:sz="4" w:space="0" w:color="auto"/>
              <w:right w:val="single" w:sz="4" w:space="0" w:color="auto"/>
            </w:tcBorders>
            <w:shd w:val="clear" w:color="auto" w:fill="auto"/>
            <w:noWrap/>
            <w:vAlign w:val="bottom"/>
            <w:hideMark/>
          </w:tcPr>
          <w:p w:rsidR="00DF7D0C" w:rsidRPr="00D529E2" w:rsidRDefault="00DF7D0C" w:rsidP="00EA462B">
            <w:pPr>
              <w:spacing w:after="0" w:line="240" w:lineRule="auto"/>
              <w:jc w:val="right"/>
              <w:rPr>
                <w:rFonts w:ascii="Times New Roman" w:eastAsia="Times New Roman" w:hAnsi="Times New Roman" w:cs="Times New Roman"/>
                <w:color w:val="000000"/>
                <w:lang w:eastAsia="ru-RU"/>
              </w:rPr>
            </w:pPr>
            <w:r w:rsidRPr="00D529E2">
              <w:rPr>
                <w:rFonts w:ascii="Times New Roman" w:eastAsia="Times New Roman" w:hAnsi="Times New Roman" w:cs="Times New Roman"/>
                <w:color w:val="000000"/>
                <w:lang w:eastAsia="ru-RU"/>
              </w:rPr>
              <w:t>-64</w:t>
            </w:r>
          </w:p>
        </w:tc>
      </w:tr>
    </w:tbl>
    <w:p w:rsidR="00DF7D0C" w:rsidRDefault="00DF7D0C" w:rsidP="000D6B0B">
      <w:pPr>
        <w:spacing w:after="0" w:line="360" w:lineRule="auto"/>
        <w:ind w:firstLine="709"/>
        <w:jc w:val="both"/>
        <w:rPr>
          <w:rFonts w:ascii="Times New Roman" w:hAnsi="Times New Roman" w:cs="Times New Roman"/>
          <w:sz w:val="28"/>
          <w:szCs w:val="28"/>
        </w:rPr>
      </w:pPr>
    </w:p>
    <w:p w:rsidR="00D529E2" w:rsidRDefault="00D45113" w:rsidP="000D6B0B">
      <w:pPr>
        <w:spacing w:after="0" w:line="360" w:lineRule="auto"/>
        <w:ind w:firstLine="709"/>
        <w:jc w:val="both"/>
        <w:rPr>
          <w:rFonts w:ascii="Times New Roman" w:hAnsi="Times New Roman" w:cs="Times New Roman"/>
          <w:sz w:val="28"/>
          <w:szCs w:val="28"/>
        </w:rPr>
      </w:pPr>
      <w:proofErr w:type="gramStart"/>
      <w:r>
        <w:rPr>
          <w:rFonts w:ascii="Times New Roman" w:hAnsi="Times New Roman" w:cs="Times New Roman"/>
          <w:sz w:val="28"/>
          <w:szCs w:val="28"/>
        </w:rPr>
        <w:t>По итогам 2012 года американская экономика имела умеренную положительную динамику</w:t>
      </w:r>
      <w:r w:rsidR="00CD2216">
        <w:rPr>
          <w:rFonts w:ascii="Times New Roman" w:hAnsi="Times New Roman" w:cs="Times New Roman"/>
          <w:sz w:val="28"/>
          <w:szCs w:val="28"/>
        </w:rPr>
        <w:t>,</w:t>
      </w:r>
      <w:r>
        <w:rPr>
          <w:rFonts w:ascii="Times New Roman" w:hAnsi="Times New Roman" w:cs="Times New Roman"/>
          <w:sz w:val="28"/>
          <w:szCs w:val="28"/>
        </w:rPr>
        <w:t xml:space="preserve"> </w:t>
      </w:r>
      <w:r w:rsidR="00CD2216">
        <w:rPr>
          <w:rFonts w:ascii="Times New Roman" w:hAnsi="Times New Roman" w:cs="Times New Roman"/>
          <w:sz w:val="28"/>
          <w:szCs w:val="28"/>
        </w:rPr>
        <w:t xml:space="preserve">в результате чего ВВП достиг </w:t>
      </w:r>
      <w:r>
        <w:rPr>
          <w:rFonts w:ascii="Times New Roman" w:hAnsi="Times New Roman" w:cs="Times New Roman"/>
          <w:sz w:val="28"/>
          <w:szCs w:val="28"/>
        </w:rPr>
        <w:t>отметк</w:t>
      </w:r>
      <w:r w:rsidR="00CD2216">
        <w:rPr>
          <w:rFonts w:ascii="Times New Roman" w:hAnsi="Times New Roman" w:cs="Times New Roman"/>
          <w:sz w:val="28"/>
          <w:szCs w:val="28"/>
        </w:rPr>
        <w:t>и</w:t>
      </w:r>
      <w:r>
        <w:rPr>
          <w:rFonts w:ascii="Times New Roman" w:hAnsi="Times New Roman" w:cs="Times New Roman"/>
          <w:sz w:val="28"/>
          <w:szCs w:val="28"/>
        </w:rPr>
        <w:t xml:space="preserve"> 2,2%, в то время как европейская вошла в рецессию</w:t>
      </w:r>
      <w:r w:rsidR="00CD2216">
        <w:rPr>
          <w:rFonts w:ascii="Times New Roman" w:hAnsi="Times New Roman" w:cs="Times New Roman"/>
          <w:sz w:val="28"/>
          <w:szCs w:val="28"/>
        </w:rPr>
        <w:t xml:space="preserve"> и</w:t>
      </w:r>
      <w:r>
        <w:rPr>
          <w:rFonts w:ascii="Times New Roman" w:hAnsi="Times New Roman" w:cs="Times New Roman"/>
          <w:sz w:val="28"/>
          <w:szCs w:val="28"/>
        </w:rPr>
        <w:t xml:space="preserve"> ВВП в годовом исчислении был равен -0,2%. Главной причиной перехода экономики ЕС к негативному тренду аналитики </w:t>
      </w:r>
      <w:r w:rsidR="00CD2216">
        <w:rPr>
          <w:rFonts w:ascii="Times New Roman" w:hAnsi="Times New Roman" w:cs="Times New Roman"/>
          <w:sz w:val="28"/>
          <w:szCs w:val="28"/>
        </w:rPr>
        <w:t>считают</w:t>
      </w:r>
      <w:r>
        <w:rPr>
          <w:rFonts w:ascii="Times New Roman" w:hAnsi="Times New Roman" w:cs="Times New Roman"/>
          <w:sz w:val="28"/>
          <w:szCs w:val="28"/>
        </w:rPr>
        <w:t xml:space="preserve"> падение показателей</w:t>
      </w:r>
      <w:r w:rsidRPr="00D45113">
        <w:t xml:space="preserve"> </w:t>
      </w:r>
      <w:r w:rsidRPr="00D45113">
        <w:rPr>
          <w:rFonts w:ascii="Times New Roman" w:hAnsi="Times New Roman" w:cs="Times New Roman"/>
          <w:sz w:val="28"/>
          <w:szCs w:val="28"/>
        </w:rPr>
        <w:t>в двух крупнейших экономиках еврозоны</w:t>
      </w:r>
      <w:r>
        <w:rPr>
          <w:rFonts w:ascii="Times New Roman" w:hAnsi="Times New Roman" w:cs="Times New Roman"/>
          <w:sz w:val="28"/>
          <w:szCs w:val="28"/>
        </w:rPr>
        <w:t xml:space="preserve"> Германии и Франции.</w:t>
      </w:r>
      <w:proofErr w:type="gramEnd"/>
      <w:r>
        <w:rPr>
          <w:rFonts w:ascii="Times New Roman" w:hAnsi="Times New Roman" w:cs="Times New Roman"/>
          <w:sz w:val="28"/>
          <w:szCs w:val="28"/>
        </w:rPr>
        <w:t xml:space="preserve"> Г</w:t>
      </w:r>
      <w:r w:rsidRPr="00D45113">
        <w:rPr>
          <w:rFonts w:ascii="Times New Roman" w:hAnsi="Times New Roman" w:cs="Times New Roman"/>
          <w:sz w:val="28"/>
          <w:szCs w:val="28"/>
        </w:rPr>
        <w:t>лавной причиной экономического спада является уменьшение экспорта вследствие снижения спроса в европейских странах</w:t>
      </w:r>
      <w:r>
        <w:rPr>
          <w:rFonts w:ascii="Times New Roman" w:hAnsi="Times New Roman" w:cs="Times New Roman"/>
          <w:sz w:val="28"/>
          <w:szCs w:val="28"/>
        </w:rPr>
        <w:t>.</w:t>
      </w:r>
    </w:p>
    <w:p w:rsidR="00D45113" w:rsidRDefault="00D45113" w:rsidP="000D6B0B">
      <w:pPr>
        <w:spacing w:after="0" w:line="360" w:lineRule="auto"/>
        <w:ind w:firstLine="709"/>
        <w:jc w:val="both"/>
        <w:rPr>
          <w:rFonts w:ascii="Times New Roman" w:hAnsi="Times New Roman" w:cs="Times New Roman"/>
          <w:sz w:val="28"/>
          <w:szCs w:val="28"/>
        </w:rPr>
      </w:pPr>
    </w:p>
    <w:p w:rsidR="00D529E2" w:rsidRDefault="00D529E2" w:rsidP="000D6B0B">
      <w:pPr>
        <w:spacing w:after="0" w:line="360" w:lineRule="auto"/>
        <w:ind w:firstLine="709"/>
        <w:jc w:val="both"/>
        <w:rPr>
          <w:rFonts w:ascii="Times New Roman" w:hAnsi="Times New Roman" w:cs="Times New Roman"/>
          <w:sz w:val="28"/>
          <w:szCs w:val="28"/>
        </w:rPr>
      </w:pPr>
    </w:p>
    <w:p w:rsidR="00D529E2" w:rsidRDefault="00D529E2" w:rsidP="00D529E2">
      <w:pPr>
        <w:spacing w:after="0" w:line="360" w:lineRule="auto"/>
        <w:jc w:val="both"/>
        <w:rPr>
          <w:rFonts w:ascii="Times New Roman" w:hAnsi="Times New Roman" w:cs="Times New Roman"/>
          <w:sz w:val="28"/>
          <w:szCs w:val="28"/>
        </w:rPr>
      </w:pPr>
      <w:r>
        <w:rPr>
          <w:noProof/>
          <w:lang w:eastAsia="ru-RU"/>
        </w:rPr>
        <w:lastRenderedPageBreak/>
        <w:drawing>
          <wp:inline distT="0" distB="0" distL="0" distR="0" wp14:anchorId="63EE43CE" wp14:editId="46AC16B8">
            <wp:extent cx="5899094" cy="3584772"/>
            <wp:effectExtent l="0" t="0" r="6985"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529E2" w:rsidRDefault="00D529E2" w:rsidP="00D529E2">
      <w:pPr>
        <w:spacing w:after="0" w:line="360" w:lineRule="auto"/>
        <w:jc w:val="both"/>
        <w:rPr>
          <w:rFonts w:ascii="Times New Roman" w:hAnsi="Times New Roman" w:cs="Times New Roman"/>
          <w:sz w:val="28"/>
          <w:szCs w:val="28"/>
        </w:rPr>
      </w:pPr>
      <w:r>
        <w:rPr>
          <w:noProof/>
          <w:lang w:eastAsia="ru-RU"/>
        </w:rPr>
        <w:drawing>
          <wp:inline distT="0" distB="0" distL="0" distR="0" wp14:anchorId="4EEF9A56" wp14:editId="0C7A1116">
            <wp:extent cx="5940425" cy="3843218"/>
            <wp:effectExtent l="0" t="0" r="3175" b="508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85089" w:rsidRDefault="00285089" w:rsidP="0028508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Колебания спроса на рынках развитых стран оказывает негативное влияние также и на развивающиеся страны. Так по итогам </w:t>
      </w:r>
      <w:r w:rsidR="00CD2216">
        <w:rPr>
          <w:rFonts w:ascii="Times New Roman" w:hAnsi="Times New Roman" w:cs="Times New Roman"/>
          <w:sz w:val="28"/>
          <w:szCs w:val="28"/>
        </w:rPr>
        <w:t xml:space="preserve">прошедшего </w:t>
      </w:r>
      <w:r>
        <w:rPr>
          <w:rFonts w:ascii="Times New Roman" w:hAnsi="Times New Roman" w:cs="Times New Roman"/>
          <w:sz w:val="28"/>
          <w:szCs w:val="28"/>
        </w:rPr>
        <w:t xml:space="preserve">года ВВП Китая и Индии, </w:t>
      </w:r>
      <w:proofErr w:type="gramStart"/>
      <w:r>
        <w:rPr>
          <w:rFonts w:ascii="Times New Roman" w:hAnsi="Times New Roman" w:cs="Times New Roman"/>
          <w:sz w:val="28"/>
          <w:szCs w:val="28"/>
        </w:rPr>
        <w:t>страны</w:t>
      </w:r>
      <w:proofErr w:type="gramEnd"/>
      <w:r>
        <w:rPr>
          <w:rFonts w:ascii="Times New Roman" w:hAnsi="Times New Roman" w:cs="Times New Roman"/>
          <w:sz w:val="28"/>
          <w:szCs w:val="28"/>
        </w:rPr>
        <w:t xml:space="preserve"> сохраняющие наибольшие темпы роста экономики, был на уровне 7,8% и 5,4% и имел отрицательную динамику по отношению к предыдущему периоду.</w:t>
      </w:r>
    </w:p>
    <w:p w:rsidR="00D529E2" w:rsidRDefault="00D529E2" w:rsidP="00D529E2">
      <w:pPr>
        <w:spacing w:after="0" w:line="360" w:lineRule="auto"/>
        <w:jc w:val="both"/>
        <w:rPr>
          <w:rFonts w:ascii="Times New Roman" w:hAnsi="Times New Roman" w:cs="Times New Roman"/>
          <w:sz w:val="28"/>
          <w:szCs w:val="28"/>
        </w:rPr>
      </w:pPr>
      <w:r>
        <w:rPr>
          <w:noProof/>
          <w:lang w:eastAsia="ru-RU"/>
        </w:rPr>
        <w:lastRenderedPageBreak/>
        <w:drawing>
          <wp:inline distT="0" distB="0" distL="0" distR="0" wp14:anchorId="4ED92B59" wp14:editId="283AE532">
            <wp:extent cx="5988106" cy="3859901"/>
            <wp:effectExtent l="0" t="0" r="0" b="7620"/>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D529E2" w:rsidRDefault="00D529E2" w:rsidP="00D529E2">
      <w:pPr>
        <w:spacing w:after="0" w:line="360" w:lineRule="auto"/>
        <w:jc w:val="both"/>
        <w:rPr>
          <w:rFonts w:ascii="Times New Roman" w:hAnsi="Times New Roman" w:cs="Times New Roman"/>
          <w:sz w:val="28"/>
          <w:szCs w:val="28"/>
        </w:rPr>
      </w:pPr>
      <w:r>
        <w:rPr>
          <w:noProof/>
          <w:lang w:eastAsia="ru-RU"/>
        </w:rPr>
        <w:drawing>
          <wp:inline distT="0" distB="0" distL="0" distR="0" wp14:anchorId="35C52B2B" wp14:editId="27E82F8C">
            <wp:extent cx="5638800" cy="3843338"/>
            <wp:effectExtent l="0" t="0" r="0" b="5080"/>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85089" w:rsidRDefault="00285089" w:rsidP="0028508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Помимо колебаний на мировых рынках негативное влияние на уровень роста экономик развивающихся стран оказывают накопившиеся внутренние проблемы. В частности о</w:t>
      </w:r>
      <w:r w:rsidRPr="00285089">
        <w:rPr>
          <w:rFonts w:ascii="Times New Roman" w:hAnsi="Times New Roman" w:cs="Times New Roman"/>
          <w:sz w:val="28"/>
          <w:szCs w:val="28"/>
        </w:rPr>
        <w:t xml:space="preserve">тношение частного долга </w:t>
      </w:r>
      <w:r w:rsidR="00CD2216">
        <w:rPr>
          <w:rFonts w:ascii="Times New Roman" w:hAnsi="Times New Roman" w:cs="Times New Roman"/>
          <w:sz w:val="28"/>
          <w:szCs w:val="28"/>
        </w:rPr>
        <w:t xml:space="preserve">в Китае </w:t>
      </w:r>
      <w:r w:rsidRPr="00285089">
        <w:rPr>
          <w:rFonts w:ascii="Times New Roman" w:hAnsi="Times New Roman" w:cs="Times New Roman"/>
          <w:sz w:val="28"/>
          <w:szCs w:val="28"/>
        </w:rPr>
        <w:t xml:space="preserve">к ВВП выросло до </w:t>
      </w:r>
      <w:r w:rsidRPr="00285089">
        <w:rPr>
          <w:rFonts w:ascii="Times New Roman" w:hAnsi="Times New Roman" w:cs="Times New Roman"/>
          <w:sz w:val="28"/>
          <w:szCs w:val="28"/>
        </w:rPr>
        <w:lastRenderedPageBreak/>
        <w:t>уровня 180%</w:t>
      </w:r>
      <w:r w:rsidR="00322382">
        <w:rPr>
          <w:rFonts w:ascii="Times New Roman" w:hAnsi="Times New Roman" w:cs="Times New Roman"/>
          <w:sz w:val="28"/>
          <w:szCs w:val="28"/>
        </w:rPr>
        <w:t>, что по оценкам многих аналитиков является тревожным сигналом.</w:t>
      </w:r>
    </w:p>
    <w:p w:rsidR="00322382" w:rsidRDefault="00322382" w:rsidP="0028508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Согласно рекомендациям М</w:t>
      </w:r>
      <w:proofErr w:type="gramStart"/>
      <w:r>
        <w:rPr>
          <w:rFonts w:ascii="Times New Roman" w:hAnsi="Times New Roman" w:cs="Times New Roman"/>
          <w:sz w:val="28"/>
          <w:szCs w:val="28"/>
        </w:rPr>
        <w:t>ВФ стр</w:t>
      </w:r>
      <w:proofErr w:type="gramEnd"/>
      <w:r>
        <w:rPr>
          <w:rFonts w:ascii="Times New Roman" w:hAnsi="Times New Roman" w:cs="Times New Roman"/>
          <w:sz w:val="28"/>
          <w:szCs w:val="28"/>
        </w:rPr>
        <w:t>анам с</w:t>
      </w:r>
      <w:r w:rsidRPr="00322382">
        <w:rPr>
          <w:rFonts w:ascii="Times New Roman" w:hAnsi="Times New Roman" w:cs="Times New Roman"/>
          <w:sz w:val="28"/>
          <w:szCs w:val="28"/>
        </w:rPr>
        <w:t xml:space="preserve"> формирующимся рынком</w:t>
      </w:r>
      <w:r>
        <w:rPr>
          <w:rFonts w:ascii="Times New Roman" w:hAnsi="Times New Roman" w:cs="Times New Roman"/>
          <w:sz w:val="28"/>
          <w:szCs w:val="28"/>
        </w:rPr>
        <w:t xml:space="preserve"> необходимо быть готовым к серьезным угрозам со стороны экономик развитых стран</w:t>
      </w:r>
      <w:r w:rsidR="00CD2216">
        <w:rPr>
          <w:rFonts w:ascii="Times New Roman" w:hAnsi="Times New Roman" w:cs="Times New Roman"/>
          <w:sz w:val="28"/>
          <w:szCs w:val="28"/>
        </w:rPr>
        <w:t>,</w:t>
      </w:r>
      <w:r>
        <w:rPr>
          <w:rFonts w:ascii="Times New Roman" w:hAnsi="Times New Roman" w:cs="Times New Roman"/>
          <w:sz w:val="28"/>
          <w:szCs w:val="28"/>
        </w:rPr>
        <w:t xml:space="preserve"> где намечаются проблемы из-за роста государственного долго до пределов установленных национальным законодательством. Сокращение бюджетных расходов может вызвать сокращение потребительского спроса и, соответственно, импорт товаров из развивающихся стран также будет уменьшаться</w:t>
      </w:r>
      <w:r w:rsidR="00CD2216">
        <w:rPr>
          <w:rFonts w:ascii="Times New Roman" w:hAnsi="Times New Roman" w:cs="Times New Roman"/>
          <w:sz w:val="28"/>
          <w:szCs w:val="28"/>
        </w:rPr>
        <w:t>, что окажет негативное влияние на производство в развивающихся странах</w:t>
      </w:r>
      <w:r>
        <w:rPr>
          <w:rFonts w:ascii="Times New Roman" w:hAnsi="Times New Roman" w:cs="Times New Roman"/>
          <w:sz w:val="28"/>
          <w:szCs w:val="28"/>
        </w:rPr>
        <w:t>.</w:t>
      </w:r>
    </w:p>
    <w:p w:rsidR="00D925F4" w:rsidRDefault="004E3867" w:rsidP="00D925F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Сложности</w:t>
      </w:r>
      <w:r w:rsidR="00D925F4">
        <w:rPr>
          <w:rFonts w:ascii="Times New Roman" w:hAnsi="Times New Roman" w:cs="Times New Roman"/>
          <w:sz w:val="28"/>
          <w:szCs w:val="28"/>
        </w:rPr>
        <w:t xml:space="preserve"> в мировой экономике по-прежнему связанны с финансовым сектором. </w:t>
      </w:r>
      <w:proofErr w:type="gramStart"/>
      <w:r w:rsidR="00D925F4">
        <w:rPr>
          <w:rFonts w:ascii="Times New Roman" w:hAnsi="Times New Roman" w:cs="Times New Roman"/>
          <w:sz w:val="28"/>
          <w:szCs w:val="28"/>
        </w:rPr>
        <w:t>Стараясь поддержать ликвидность банков на необходимом уровне американский и европейский регуляторы идут на беспрецедентные</w:t>
      </w:r>
      <w:proofErr w:type="gramEnd"/>
      <w:r w:rsidR="00D925F4">
        <w:rPr>
          <w:rFonts w:ascii="Times New Roman" w:hAnsi="Times New Roman" w:cs="Times New Roman"/>
          <w:sz w:val="28"/>
          <w:szCs w:val="28"/>
        </w:rPr>
        <w:t xml:space="preserve"> меры, которые в свою очередь обеспечивают определенную стабильность, но кардинально ситуации не меняют. По оценкам некоторых экспертов совокупный объем эмиссии денег Центральными банками крупных мировых стран за период 2008-2011 гг. составил 8,85 трлн. долларов, что сопоставимо с 10% мирового ВВП. Такая агрессивная политика объясняется особенностями последствий мирового финансового кризиса 2008 года, когда финансов</w:t>
      </w:r>
      <w:r w:rsidR="00CD2216">
        <w:rPr>
          <w:rFonts w:ascii="Times New Roman" w:hAnsi="Times New Roman" w:cs="Times New Roman"/>
          <w:sz w:val="28"/>
          <w:szCs w:val="28"/>
        </w:rPr>
        <w:t>ые</w:t>
      </w:r>
      <w:r w:rsidR="00D925F4">
        <w:rPr>
          <w:rFonts w:ascii="Times New Roman" w:hAnsi="Times New Roman" w:cs="Times New Roman"/>
          <w:sz w:val="28"/>
          <w:szCs w:val="28"/>
        </w:rPr>
        <w:t xml:space="preserve"> </w:t>
      </w:r>
      <w:r w:rsidR="00CD2216">
        <w:rPr>
          <w:rFonts w:ascii="Times New Roman" w:hAnsi="Times New Roman" w:cs="Times New Roman"/>
          <w:sz w:val="28"/>
          <w:szCs w:val="28"/>
        </w:rPr>
        <w:t>рынки</w:t>
      </w:r>
      <w:r w:rsidR="00322382">
        <w:rPr>
          <w:rFonts w:ascii="Times New Roman" w:hAnsi="Times New Roman" w:cs="Times New Roman"/>
          <w:sz w:val="28"/>
          <w:szCs w:val="28"/>
        </w:rPr>
        <w:t xml:space="preserve"> </w:t>
      </w:r>
      <w:r w:rsidR="00D925F4">
        <w:rPr>
          <w:rFonts w:ascii="Times New Roman" w:hAnsi="Times New Roman" w:cs="Times New Roman"/>
          <w:sz w:val="28"/>
          <w:szCs w:val="28"/>
        </w:rPr>
        <w:t>во всем мире потеряла от 50% до 75%, что подорвал</w:t>
      </w:r>
      <w:r w:rsidR="00322382">
        <w:rPr>
          <w:rFonts w:ascii="Times New Roman" w:hAnsi="Times New Roman" w:cs="Times New Roman"/>
          <w:sz w:val="28"/>
          <w:szCs w:val="28"/>
        </w:rPr>
        <w:t>о</w:t>
      </w:r>
      <w:r w:rsidR="00D925F4">
        <w:rPr>
          <w:rFonts w:ascii="Times New Roman" w:hAnsi="Times New Roman" w:cs="Times New Roman"/>
          <w:sz w:val="28"/>
          <w:szCs w:val="28"/>
        </w:rPr>
        <w:t xml:space="preserve"> ликвидность многих национальных банковских систем.</w:t>
      </w:r>
    </w:p>
    <w:p w:rsidR="00D925F4" w:rsidRDefault="00D925F4" w:rsidP="00D925F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Проблемы мировой финансовой системы, по мнению многих экспертов, носят фундаментальный характер и являются следствием широкого распространения на фондовых рынках сделок с использованием </w:t>
      </w:r>
      <w:proofErr w:type="spellStart"/>
      <w:r>
        <w:rPr>
          <w:rFonts w:ascii="Times New Roman" w:hAnsi="Times New Roman" w:cs="Times New Roman"/>
          <w:sz w:val="28"/>
          <w:szCs w:val="28"/>
        </w:rPr>
        <w:t>д</w:t>
      </w:r>
      <w:r w:rsidRPr="001247D2">
        <w:rPr>
          <w:rFonts w:ascii="Times New Roman" w:hAnsi="Times New Roman" w:cs="Times New Roman"/>
          <w:sz w:val="28"/>
          <w:szCs w:val="28"/>
        </w:rPr>
        <w:t>ериватив</w:t>
      </w:r>
      <w:r>
        <w:rPr>
          <w:rFonts w:ascii="Times New Roman" w:hAnsi="Times New Roman" w:cs="Times New Roman"/>
          <w:sz w:val="28"/>
          <w:szCs w:val="28"/>
        </w:rPr>
        <w:t>ов</w:t>
      </w:r>
      <w:proofErr w:type="spellEnd"/>
      <w:r>
        <w:rPr>
          <w:rFonts w:ascii="Times New Roman" w:hAnsi="Times New Roman" w:cs="Times New Roman"/>
          <w:sz w:val="28"/>
          <w:szCs w:val="28"/>
        </w:rPr>
        <w:t>.</w:t>
      </w:r>
    </w:p>
    <w:p w:rsidR="00D925F4" w:rsidRDefault="00D925F4" w:rsidP="00D925F4">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Дериватив</w:t>
      </w:r>
      <w:proofErr w:type="spellEnd"/>
      <w:r>
        <w:rPr>
          <w:rFonts w:ascii="Times New Roman" w:hAnsi="Times New Roman" w:cs="Times New Roman"/>
          <w:sz w:val="28"/>
          <w:szCs w:val="28"/>
        </w:rPr>
        <w:t xml:space="preserve"> как финансовый инструмент является ценной бумагой второго порядка и зачастую носит технический характер, продавая не саму ценность первого порядка, а лишь право доступа к ней. Данный финансовый инструмент имеет разные формы, но наиболее опасной формой является кредитно-дефолтный своп (</w:t>
      </w:r>
      <w:proofErr w:type="spellStart"/>
      <w:r w:rsidRPr="00706A20">
        <w:rPr>
          <w:rFonts w:ascii="Times New Roman" w:hAnsi="Times New Roman" w:cs="Times New Roman"/>
          <w:sz w:val="28"/>
          <w:szCs w:val="28"/>
        </w:rPr>
        <w:t>credit</w:t>
      </w:r>
      <w:proofErr w:type="spellEnd"/>
      <w:r w:rsidRPr="00706A20">
        <w:rPr>
          <w:rFonts w:ascii="Times New Roman" w:hAnsi="Times New Roman" w:cs="Times New Roman"/>
          <w:sz w:val="28"/>
          <w:szCs w:val="28"/>
        </w:rPr>
        <w:t xml:space="preserve"> </w:t>
      </w:r>
      <w:proofErr w:type="spellStart"/>
      <w:r w:rsidRPr="00706A20">
        <w:rPr>
          <w:rFonts w:ascii="Times New Roman" w:hAnsi="Times New Roman" w:cs="Times New Roman"/>
          <w:sz w:val="28"/>
          <w:szCs w:val="28"/>
        </w:rPr>
        <w:t>default</w:t>
      </w:r>
      <w:proofErr w:type="spellEnd"/>
      <w:r w:rsidRPr="00706A20">
        <w:rPr>
          <w:rFonts w:ascii="Times New Roman" w:hAnsi="Times New Roman" w:cs="Times New Roman"/>
          <w:sz w:val="28"/>
          <w:szCs w:val="28"/>
        </w:rPr>
        <w:t xml:space="preserve"> </w:t>
      </w:r>
      <w:proofErr w:type="spellStart"/>
      <w:r w:rsidRPr="00706A20">
        <w:rPr>
          <w:rFonts w:ascii="Times New Roman" w:hAnsi="Times New Roman" w:cs="Times New Roman"/>
          <w:sz w:val="28"/>
          <w:szCs w:val="28"/>
        </w:rPr>
        <w:t>swap</w:t>
      </w:r>
      <w:proofErr w:type="spellEnd"/>
      <w:r w:rsidRPr="00706A20">
        <w:rPr>
          <w:rFonts w:ascii="Times New Roman" w:hAnsi="Times New Roman" w:cs="Times New Roman"/>
          <w:sz w:val="28"/>
          <w:szCs w:val="28"/>
        </w:rPr>
        <w:t>, CDS</w:t>
      </w:r>
      <w:r>
        <w:rPr>
          <w:rFonts w:ascii="Times New Roman" w:hAnsi="Times New Roman" w:cs="Times New Roman"/>
          <w:sz w:val="28"/>
          <w:szCs w:val="28"/>
        </w:rPr>
        <w:t xml:space="preserve">). Он создает условия </w:t>
      </w:r>
      <w:r>
        <w:rPr>
          <w:rFonts w:ascii="Times New Roman" w:hAnsi="Times New Roman" w:cs="Times New Roman"/>
          <w:sz w:val="28"/>
          <w:szCs w:val="28"/>
        </w:rPr>
        <w:lastRenderedPageBreak/>
        <w:t xml:space="preserve">неконтролируемого роста ликвидности банков, так как операции с </w:t>
      </w:r>
      <w:r w:rsidRPr="00706A20">
        <w:rPr>
          <w:rFonts w:ascii="Times New Roman" w:hAnsi="Times New Roman" w:cs="Times New Roman"/>
          <w:sz w:val="28"/>
          <w:szCs w:val="28"/>
        </w:rPr>
        <w:t>CDS</w:t>
      </w:r>
      <w:r>
        <w:rPr>
          <w:rFonts w:ascii="Times New Roman" w:hAnsi="Times New Roman" w:cs="Times New Roman"/>
          <w:sz w:val="28"/>
          <w:szCs w:val="28"/>
        </w:rPr>
        <w:t xml:space="preserve"> освобожда</w:t>
      </w:r>
      <w:r w:rsidR="004E3867">
        <w:rPr>
          <w:rFonts w:ascii="Times New Roman" w:hAnsi="Times New Roman" w:cs="Times New Roman"/>
          <w:sz w:val="28"/>
          <w:szCs w:val="28"/>
        </w:rPr>
        <w:t>ют</w:t>
      </w:r>
      <w:r>
        <w:rPr>
          <w:rFonts w:ascii="Times New Roman" w:hAnsi="Times New Roman" w:cs="Times New Roman"/>
          <w:sz w:val="28"/>
          <w:szCs w:val="28"/>
        </w:rPr>
        <w:t xml:space="preserve"> банки от резервирования части финансов в </w:t>
      </w:r>
      <w:r w:rsidR="00322382">
        <w:rPr>
          <w:rFonts w:ascii="Times New Roman" w:hAnsi="Times New Roman" w:cs="Times New Roman"/>
          <w:sz w:val="28"/>
          <w:szCs w:val="28"/>
        </w:rPr>
        <w:t>национальных регуляторах</w:t>
      </w:r>
      <w:r>
        <w:rPr>
          <w:rFonts w:ascii="Times New Roman" w:hAnsi="Times New Roman" w:cs="Times New Roman"/>
          <w:sz w:val="28"/>
          <w:szCs w:val="28"/>
        </w:rPr>
        <w:t>. С другой стороны операции с такими финансовыми инструментами подрывали финансовую стабильность, в результате чего риски на себя б</w:t>
      </w:r>
      <w:r w:rsidR="00322382">
        <w:rPr>
          <w:rFonts w:ascii="Times New Roman" w:hAnsi="Times New Roman" w:cs="Times New Roman"/>
          <w:sz w:val="28"/>
          <w:szCs w:val="28"/>
        </w:rPr>
        <w:t>ерут</w:t>
      </w:r>
      <w:r>
        <w:rPr>
          <w:rFonts w:ascii="Times New Roman" w:hAnsi="Times New Roman" w:cs="Times New Roman"/>
          <w:sz w:val="28"/>
          <w:szCs w:val="28"/>
        </w:rPr>
        <w:t xml:space="preserve"> организации</w:t>
      </w:r>
      <w:r w:rsidR="00CD2216">
        <w:rPr>
          <w:rFonts w:ascii="Times New Roman" w:hAnsi="Times New Roman" w:cs="Times New Roman"/>
          <w:sz w:val="28"/>
          <w:szCs w:val="28"/>
        </w:rPr>
        <w:t>,</w:t>
      </w:r>
      <w:r>
        <w:rPr>
          <w:rFonts w:ascii="Times New Roman" w:hAnsi="Times New Roman" w:cs="Times New Roman"/>
          <w:sz w:val="28"/>
          <w:szCs w:val="28"/>
        </w:rPr>
        <w:t xml:space="preserve"> не имеющие достаточно ликвидности для их покрытия. </w:t>
      </w:r>
      <w:r w:rsidRPr="00175F1E">
        <w:rPr>
          <w:rFonts w:ascii="Times New Roman" w:hAnsi="Times New Roman" w:cs="Times New Roman"/>
          <w:sz w:val="28"/>
          <w:szCs w:val="28"/>
        </w:rPr>
        <w:t xml:space="preserve">Известный финансист Уоррен </w:t>
      </w:r>
      <w:proofErr w:type="spellStart"/>
      <w:r w:rsidRPr="00175F1E">
        <w:rPr>
          <w:rFonts w:ascii="Times New Roman" w:hAnsi="Times New Roman" w:cs="Times New Roman"/>
          <w:sz w:val="28"/>
          <w:szCs w:val="28"/>
        </w:rPr>
        <w:t>Баффет</w:t>
      </w:r>
      <w:proofErr w:type="spellEnd"/>
      <w:r w:rsidRPr="00175F1E">
        <w:rPr>
          <w:rFonts w:ascii="Times New Roman" w:hAnsi="Times New Roman" w:cs="Times New Roman"/>
          <w:sz w:val="28"/>
          <w:szCs w:val="28"/>
        </w:rPr>
        <w:t xml:space="preserve"> назвал спекулятивные производные инструменты «финансовым оружием массового уничтожения». «</w:t>
      </w:r>
      <w:proofErr w:type="spellStart"/>
      <w:r w:rsidRPr="00175F1E">
        <w:rPr>
          <w:rFonts w:ascii="Times New Roman" w:hAnsi="Times New Roman" w:cs="Times New Roman"/>
          <w:sz w:val="28"/>
          <w:szCs w:val="28"/>
        </w:rPr>
        <w:t>Деривативы</w:t>
      </w:r>
      <w:proofErr w:type="spellEnd"/>
      <w:r w:rsidRPr="00175F1E">
        <w:rPr>
          <w:rFonts w:ascii="Times New Roman" w:hAnsi="Times New Roman" w:cs="Times New Roman"/>
          <w:sz w:val="28"/>
          <w:szCs w:val="28"/>
        </w:rPr>
        <w:t xml:space="preserve">, – писал он, – не имеющие гарантии или обеспечения, оцениваются в зависимости от кредитоспособности контрагентов. Между тем, до момента завершения контракта, контрагенты учитывают прибыли и убытки – иногда в огромных суммах – в своих текущих балансах, хотя ни пенни не переходит из рук в руки. Пределы, в которых можно варьировать </w:t>
      </w:r>
      <w:proofErr w:type="spellStart"/>
      <w:r w:rsidRPr="00175F1E">
        <w:rPr>
          <w:rFonts w:ascii="Times New Roman" w:hAnsi="Times New Roman" w:cs="Times New Roman"/>
          <w:sz w:val="28"/>
          <w:szCs w:val="28"/>
        </w:rPr>
        <w:t>деривативами</w:t>
      </w:r>
      <w:proofErr w:type="spellEnd"/>
      <w:r w:rsidRPr="00175F1E">
        <w:rPr>
          <w:rFonts w:ascii="Times New Roman" w:hAnsi="Times New Roman" w:cs="Times New Roman"/>
          <w:sz w:val="28"/>
          <w:szCs w:val="28"/>
        </w:rPr>
        <w:t>, ограничиваются лишь воображением человека»</w:t>
      </w:r>
      <w:r>
        <w:rPr>
          <w:rFonts w:ascii="Times New Roman" w:hAnsi="Times New Roman" w:cs="Times New Roman"/>
          <w:sz w:val="28"/>
          <w:szCs w:val="28"/>
        </w:rPr>
        <w:t xml:space="preserve">. </w:t>
      </w:r>
    </w:p>
    <w:p w:rsidR="00D925F4" w:rsidRDefault="00D925F4" w:rsidP="00D925F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мировое сообщество пришло к пониманию о необходимости </w:t>
      </w:r>
      <w:proofErr w:type="gramStart"/>
      <w:r>
        <w:rPr>
          <w:rFonts w:ascii="Times New Roman" w:hAnsi="Times New Roman" w:cs="Times New Roman"/>
          <w:sz w:val="28"/>
          <w:szCs w:val="28"/>
        </w:rPr>
        <w:t>контроля за</w:t>
      </w:r>
      <w:proofErr w:type="gramEnd"/>
      <w:r>
        <w:rPr>
          <w:rFonts w:ascii="Times New Roman" w:hAnsi="Times New Roman" w:cs="Times New Roman"/>
          <w:sz w:val="28"/>
          <w:szCs w:val="28"/>
        </w:rPr>
        <w:t xml:space="preserve"> </w:t>
      </w:r>
      <w:r w:rsidR="00CD2216">
        <w:rPr>
          <w:rFonts w:ascii="Times New Roman" w:hAnsi="Times New Roman" w:cs="Times New Roman"/>
          <w:sz w:val="28"/>
          <w:szCs w:val="28"/>
        </w:rPr>
        <w:t xml:space="preserve">операциями с производными финансовыми инструментами, </w:t>
      </w:r>
      <w:r>
        <w:rPr>
          <w:rFonts w:ascii="Times New Roman" w:hAnsi="Times New Roman" w:cs="Times New Roman"/>
          <w:sz w:val="28"/>
          <w:szCs w:val="28"/>
        </w:rPr>
        <w:t xml:space="preserve">для недопущения масштабных потрясений финансовой системы. Определенные механизмы прописаны </w:t>
      </w:r>
      <w:r w:rsidR="00322382">
        <w:rPr>
          <w:rFonts w:ascii="Times New Roman" w:hAnsi="Times New Roman" w:cs="Times New Roman"/>
          <w:sz w:val="28"/>
          <w:szCs w:val="28"/>
        </w:rPr>
        <w:t xml:space="preserve">в </w:t>
      </w:r>
      <w:proofErr w:type="spellStart"/>
      <w:r w:rsidRPr="00D925F4">
        <w:rPr>
          <w:rFonts w:ascii="Times New Roman" w:hAnsi="Times New Roman" w:cs="Times New Roman"/>
          <w:sz w:val="28"/>
          <w:szCs w:val="28"/>
        </w:rPr>
        <w:t>Базельск</w:t>
      </w:r>
      <w:r>
        <w:rPr>
          <w:rFonts w:ascii="Times New Roman" w:hAnsi="Times New Roman" w:cs="Times New Roman"/>
          <w:sz w:val="28"/>
          <w:szCs w:val="28"/>
        </w:rPr>
        <w:t>ом</w:t>
      </w:r>
      <w:proofErr w:type="spellEnd"/>
      <w:r w:rsidRPr="00D925F4">
        <w:rPr>
          <w:rFonts w:ascii="Times New Roman" w:hAnsi="Times New Roman" w:cs="Times New Roman"/>
          <w:sz w:val="28"/>
          <w:szCs w:val="28"/>
        </w:rPr>
        <w:t xml:space="preserve"> соглашени</w:t>
      </w:r>
      <w:r>
        <w:rPr>
          <w:rFonts w:ascii="Times New Roman" w:hAnsi="Times New Roman" w:cs="Times New Roman"/>
          <w:sz w:val="28"/>
          <w:szCs w:val="28"/>
        </w:rPr>
        <w:t>и</w:t>
      </w:r>
      <w:r w:rsidRPr="00D925F4">
        <w:rPr>
          <w:rFonts w:ascii="Times New Roman" w:hAnsi="Times New Roman" w:cs="Times New Roman"/>
          <w:sz w:val="28"/>
          <w:szCs w:val="28"/>
        </w:rPr>
        <w:t xml:space="preserve"> </w:t>
      </w:r>
      <w:r>
        <w:rPr>
          <w:rFonts w:ascii="Times New Roman" w:hAnsi="Times New Roman" w:cs="Times New Roman"/>
          <w:sz w:val="28"/>
          <w:szCs w:val="28"/>
          <w:lang w:val="en-US"/>
        </w:rPr>
        <w:t>III</w:t>
      </w:r>
      <w:r>
        <w:rPr>
          <w:rFonts w:ascii="Times New Roman" w:hAnsi="Times New Roman" w:cs="Times New Roman"/>
          <w:sz w:val="28"/>
          <w:szCs w:val="28"/>
        </w:rPr>
        <w:t xml:space="preserve">, нацеленном на создании эффективных механизмов создания внутренних резервов </w:t>
      </w:r>
      <w:r w:rsidR="00322382">
        <w:rPr>
          <w:rFonts w:ascii="Times New Roman" w:hAnsi="Times New Roman" w:cs="Times New Roman"/>
          <w:sz w:val="28"/>
          <w:szCs w:val="28"/>
        </w:rPr>
        <w:t xml:space="preserve">устойчивости </w:t>
      </w:r>
      <w:r>
        <w:rPr>
          <w:rFonts w:ascii="Times New Roman" w:hAnsi="Times New Roman" w:cs="Times New Roman"/>
          <w:sz w:val="28"/>
          <w:szCs w:val="28"/>
        </w:rPr>
        <w:t xml:space="preserve">мировой банковской системы. </w:t>
      </w:r>
      <w:r w:rsidR="001E2D91">
        <w:rPr>
          <w:rFonts w:ascii="Times New Roman" w:hAnsi="Times New Roman" w:cs="Times New Roman"/>
          <w:sz w:val="28"/>
          <w:szCs w:val="28"/>
        </w:rPr>
        <w:t>Однако говорить, что какие-то отдельные шаги могут изменить настроение в мировой экономике не приходится.</w:t>
      </w:r>
      <w:r>
        <w:rPr>
          <w:rFonts w:ascii="Times New Roman" w:hAnsi="Times New Roman" w:cs="Times New Roman"/>
          <w:sz w:val="28"/>
          <w:szCs w:val="28"/>
        </w:rPr>
        <w:t xml:space="preserve"> </w:t>
      </w:r>
      <w:r w:rsidR="001E2D91">
        <w:rPr>
          <w:rFonts w:ascii="Times New Roman" w:hAnsi="Times New Roman" w:cs="Times New Roman"/>
          <w:sz w:val="28"/>
          <w:szCs w:val="28"/>
        </w:rPr>
        <w:t>В конечном итоге п</w:t>
      </w:r>
      <w:r>
        <w:rPr>
          <w:rFonts w:ascii="Times New Roman" w:hAnsi="Times New Roman" w:cs="Times New Roman"/>
          <w:sz w:val="28"/>
          <w:szCs w:val="28"/>
        </w:rPr>
        <w:t xml:space="preserve">ока не будут созданы условия, которые убедили бы потенциальных инвесторов и потребителей в </w:t>
      </w:r>
      <w:r w:rsidR="001E2D91">
        <w:rPr>
          <w:rFonts w:ascii="Times New Roman" w:hAnsi="Times New Roman" w:cs="Times New Roman"/>
          <w:sz w:val="28"/>
          <w:szCs w:val="28"/>
        </w:rPr>
        <w:t xml:space="preserve">том, что </w:t>
      </w:r>
      <w:r>
        <w:rPr>
          <w:rFonts w:ascii="Times New Roman" w:hAnsi="Times New Roman" w:cs="Times New Roman"/>
          <w:sz w:val="28"/>
          <w:szCs w:val="28"/>
        </w:rPr>
        <w:t>развити</w:t>
      </w:r>
      <w:r w:rsidR="001E2D91">
        <w:rPr>
          <w:rFonts w:ascii="Times New Roman" w:hAnsi="Times New Roman" w:cs="Times New Roman"/>
          <w:sz w:val="28"/>
          <w:szCs w:val="28"/>
        </w:rPr>
        <w:t>е</w:t>
      </w:r>
      <w:r>
        <w:rPr>
          <w:rFonts w:ascii="Times New Roman" w:hAnsi="Times New Roman" w:cs="Times New Roman"/>
          <w:sz w:val="28"/>
          <w:szCs w:val="28"/>
        </w:rPr>
        <w:t xml:space="preserve"> мирового кризиса по сценарию 2008 года </w:t>
      </w:r>
      <w:r w:rsidR="001E2D91">
        <w:rPr>
          <w:rFonts w:ascii="Times New Roman" w:hAnsi="Times New Roman" w:cs="Times New Roman"/>
          <w:sz w:val="28"/>
          <w:szCs w:val="28"/>
        </w:rPr>
        <w:t xml:space="preserve">исключено, </w:t>
      </w:r>
      <w:r>
        <w:rPr>
          <w:rFonts w:ascii="Times New Roman" w:hAnsi="Times New Roman" w:cs="Times New Roman"/>
          <w:sz w:val="28"/>
          <w:szCs w:val="28"/>
        </w:rPr>
        <w:t xml:space="preserve">добиться интенсивного оживления мировой экономики по образцу докризисного периода </w:t>
      </w:r>
      <w:r w:rsidR="00CD2216">
        <w:rPr>
          <w:rFonts w:ascii="Times New Roman" w:hAnsi="Times New Roman" w:cs="Times New Roman"/>
          <w:sz w:val="28"/>
          <w:szCs w:val="28"/>
        </w:rPr>
        <w:t>будет проблематично</w:t>
      </w:r>
      <w:r>
        <w:rPr>
          <w:rFonts w:ascii="Times New Roman" w:hAnsi="Times New Roman" w:cs="Times New Roman"/>
          <w:sz w:val="28"/>
          <w:szCs w:val="28"/>
        </w:rPr>
        <w:t>.</w:t>
      </w:r>
    </w:p>
    <w:p w:rsidR="00D529E2" w:rsidRDefault="00D529E2" w:rsidP="00D529E2">
      <w:pPr>
        <w:spacing w:after="0" w:line="360" w:lineRule="auto"/>
        <w:jc w:val="both"/>
        <w:rPr>
          <w:rFonts w:ascii="Times New Roman" w:hAnsi="Times New Roman" w:cs="Times New Roman"/>
          <w:sz w:val="28"/>
          <w:szCs w:val="28"/>
        </w:rPr>
      </w:pPr>
    </w:p>
    <w:p w:rsidR="00D529E2" w:rsidRDefault="00D529E2" w:rsidP="00D529E2">
      <w:pPr>
        <w:spacing w:after="0" w:line="360" w:lineRule="auto"/>
        <w:jc w:val="both"/>
        <w:rPr>
          <w:rFonts w:ascii="Times New Roman" w:hAnsi="Times New Roman" w:cs="Times New Roman"/>
          <w:sz w:val="28"/>
          <w:szCs w:val="28"/>
        </w:rPr>
      </w:pPr>
    </w:p>
    <w:p w:rsidR="00D529E2" w:rsidRDefault="00CA02E4">
      <w:pPr>
        <w:rPr>
          <w:rFonts w:ascii="Times New Roman" w:hAnsi="Times New Roman" w:cs="Times New Roman"/>
          <w:sz w:val="28"/>
          <w:szCs w:val="28"/>
        </w:rPr>
      </w:pPr>
      <w:r>
        <w:rPr>
          <w:rFonts w:ascii="Times New Roman" w:hAnsi="Times New Roman" w:cs="Times New Roman"/>
          <w:sz w:val="28"/>
          <w:szCs w:val="28"/>
        </w:rPr>
        <w:br w:type="page"/>
      </w:r>
    </w:p>
    <w:p w:rsidR="00CA02E4" w:rsidRDefault="00CA02E4" w:rsidP="00C412D2">
      <w:pPr>
        <w:spacing w:after="0" w:line="360" w:lineRule="auto"/>
        <w:jc w:val="center"/>
        <w:rPr>
          <w:rFonts w:ascii="Times New Roman" w:hAnsi="Times New Roman" w:cs="Times New Roman"/>
          <w:b/>
          <w:sz w:val="28"/>
          <w:szCs w:val="28"/>
        </w:rPr>
      </w:pPr>
      <w:r w:rsidRPr="00C412D2">
        <w:rPr>
          <w:rFonts w:ascii="Times New Roman" w:hAnsi="Times New Roman" w:cs="Times New Roman"/>
          <w:b/>
          <w:sz w:val="28"/>
          <w:szCs w:val="28"/>
        </w:rPr>
        <w:lastRenderedPageBreak/>
        <w:t>Российская экономика</w:t>
      </w:r>
    </w:p>
    <w:p w:rsidR="007074DB" w:rsidRDefault="007074DB" w:rsidP="00C412D2">
      <w:pPr>
        <w:spacing w:after="0" w:line="360" w:lineRule="auto"/>
        <w:ind w:firstLine="709"/>
        <w:jc w:val="both"/>
        <w:rPr>
          <w:rFonts w:ascii="Times New Roman" w:hAnsi="Times New Roman" w:cs="Times New Roman"/>
          <w:sz w:val="28"/>
          <w:szCs w:val="28"/>
        </w:rPr>
      </w:pPr>
    </w:p>
    <w:p w:rsidR="007074DB" w:rsidRPr="007074DB" w:rsidRDefault="004E3867" w:rsidP="007074D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Мировая экономика в прошедшем году имела множество дестабилизирующих факторов, что создавало по общим оценкам негативный тренд. </w:t>
      </w:r>
      <w:r w:rsidR="007074DB" w:rsidRPr="007074DB">
        <w:rPr>
          <w:rFonts w:ascii="Times New Roman" w:hAnsi="Times New Roman" w:cs="Times New Roman"/>
          <w:sz w:val="28"/>
          <w:szCs w:val="28"/>
        </w:rPr>
        <w:t>На этом фоне российская экономика демонстрировала стабильные показатели, но все же в четвертом квартале 2012 года эти показатели несколько ухудшились. Объём ВВП в настоящее время превысил докризисный максимум и российская экономика, вышла на траекторию замедления экономического роста.</w:t>
      </w:r>
    </w:p>
    <w:p w:rsidR="007074DB"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По итогам года ВВП составил 3,4%, что на 1% ниже объема прошлого года, а инфляция была на уровне 6,4% и увеличилась на 0,3% относительно показателя прошлого года.</w:t>
      </w:r>
    </w:p>
    <w:p w:rsidR="00C412D2" w:rsidRPr="00C412D2" w:rsidRDefault="00C412D2" w:rsidP="007074DB">
      <w:pPr>
        <w:spacing w:after="0" w:line="360" w:lineRule="auto"/>
        <w:jc w:val="both"/>
        <w:rPr>
          <w:rFonts w:ascii="Times New Roman" w:hAnsi="Times New Roman" w:cs="Times New Roman"/>
          <w:sz w:val="28"/>
          <w:szCs w:val="28"/>
        </w:rPr>
      </w:pPr>
      <w:r>
        <w:rPr>
          <w:noProof/>
          <w:lang w:eastAsia="ru-RU"/>
        </w:rPr>
        <w:drawing>
          <wp:inline distT="0" distB="0" distL="0" distR="0" wp14:anchorId="2879D632" wp14:editId="651B0D16">
            <wp:extent cx="5894962" cy="3492229"/>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6E318A" w:rsidRDefault="006E318A" w:rsidP="00C412D2">
      <w:pPr>
        <w:spacing w:after="0" w:line="360" w:lineRule="auto"/>
        <w:ind w:firstLine="709"/>
        <w:jc w:val="both"/>
        <w:rPr>
          <w:rFonts w:ascii="Times New Roman" w:hAnsi="Times New Roman" w:cs="Times New Roman"/>
          <w:sz w:val="28"/>
          <w:szCs w:val="28"/>
        </w:rPr>
      </w:pPr>
    </w:p>
    <w:p w:rsidR="007074DB" w:rsidRPr="007074DB"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 xml:space="preserve">Сохранение зависимости российской экономики от конъектуры внешних рынков оказывало в прошедшем году определённое давление на внутриэкономическую ситуацию. Однако согласно оценке Минэкономразвития России после активного развития в посткризисный период российская экономика перешла к новой фазе роста, </w:t>
      </w:r>
      <w:r w:rsidRPr="007074DB">
        <w:rPr>
          <w:rFonts w:ascii="Times New Roman" w:hAnsi="Times New Roman" w:cs="Times New Roman"/>
          <w:sz w:val="28"/>
          <w:szCs w:val="28"/>
        </w:rPr>
        <w:lastRenderedPageBreak/>
        <w:t>характеризующейся замедлением как инвестиционного, так и потребительского спроса на фоне ослабления внешнего спроса.</w:t>
      </w:r>
    </w:p>
    <w:p w:rsidR="00C412D2"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 xml:space="preserve">В свою очередь, стабилизирующим фактором явилось благоприятная динамика цен на нефть, которая по итогам 2012 года достигла отметки 110,7 долларов США за баррель марки </w:t>
      </w:r>
      <w:proofErr w:type="spellStart"/>
      <w:r w:rsidRPr="007074DB">
        <w:rPr>
          <w:rFonts w:ascii="Times New Roman" w:hAnsi="Times New Roman" w:cs="Times New Roman"/>
          <w:sz w:val="28"/>
          <w:szCs w:val="28"/>
        </w:rPr>
        <w:t>Brent</w:t>
      </w:r>
      <w:proofErr w:type="spellEnd"/>
      <w:r w:rsidRPr="007074DB">
        <w:rPr>
          <w:rFonts w:ascii="Times New Roman" w:hAnsi="Times New Roman" w:cs="Times New Roman"/>
          <w:sz w:val="28"/>
          <w:szCs w:val="28"/>
        </w:rPr>
        <w:t>. Это в немалой с</w:t>
      </w:r>
      <w:r w:rsidR="004E3867">
        <w:rPr>
          <w:rFonts w:ascii="Times New Roman" w:hAnsi="Times New Roman" w:cs="Times New Roman"/>
          <w:sz w:val="28"/>
          <w:szCs w:val="28"/>
        </w:rPr>
        <w:t xml:space="preserve">тепени обеспечило положительные ожидания в </w:t>
      </w:r>
      <w:r w:rsidRPr="007074DB">
        <w:rPr>
          <w:rFonts w:ascii="Times New Roman" w:hAnsi="Times New Roman" w:cs="Times New Roman"/>
          <w:sz w:val="28"/>
          <w:szCs w:val="28"/>
        </w:rPr>
        <w:t>экономической сфере в прошедшем году.</w:t>
      </w:r>
    </w:p>
    <w:p w:rsidR="006B022F" w:rsidRDefault="006B022F" w:rsidP="00C412D2">
      <w:pPr>
        <w:spacing w:after="0" w:line="360" w:lineRule="auto"/>
        <w:ind w:firstLine="709"/>
        <w:jc w:val="both"/>
        <w:rPr>
          <w:rFonts w:ascii="Times New Roman" w:hAnsi="Times New Roman" w:cs="Times New Roman"/>
          <w:sz w:val="28"/>
          <w:szCs w:val="28"/>
        </w:rPr>
      </w:pPr>
    </w:p>
    <w:p w:rsidR="00D95F1D" w:rsidRPr="00C412D2" w:rsidRDefault="006B022F" w:rsidP="00EF3DB2">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6D11B9B" wp14:editId="7F1D03F6">
            <wp:extent cx="5932170" cy="421513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170" cy="4215130"/>
                    </a:xfrm>
                    <a:prstGeom prst="rect">
                      <a:avLst/>
                    </a:prstGeom>
                    <a:noFill/>
                    <a:ln>
                      <a:noFill/>
                    </a:ln>
                  </pic:spPr>
                </pic:pic>
              </a:graphicData>
            </a:graphic>
          </wp:inline>
        </w:drawing>
      </w:r>
    </w:p>
    <w:p w:rsidR="006B022F" w:rsidRDefault="006B022F" w:rsidP="00C412D2">
      <w:pPr>
        <w:spacing w:after="0" w:line="360" w:lineRule="auto"/>
        <w:ind w:firstLine="709"/>
        <w:jc w:val="both"/>
        <w:rPr>
          <w:rFonts w:ascii="Times New Roman" w:hAnsi="Times New Roman" w:cs="Times New Roman"/>
          <w:sz w:val="28"/>
          <w:szCs w:val="28"/>
        </w:rPr>
      </w:pPr>
    </w:p>
    <w:p w:rsidR="007074DB"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 xml:space="preserve">Рост реальной заработной платы ускорился с 2,8 % в 2011 году до 8,4 % в 2012 году в основном благодаря существенному повышению оплаты труда военнослужащих, а также работников секторов образования и здравоохранения. Норма сбережения снизилась со среднего уровня 12 % в 2011 году </w:t>
      </w:r>
      <w:proofErr w:type="gramStart"/>
      <w:r w:rsidRPr="007074DB">
        <w:rPr>
          <w:rFonts w:ascii="Times New Roman" w:hAnsi="Times New Roman" w:cs="Times New Roman"/>
          <w:sz w:val="28"/>
          <w:szCs w:val="28"/>
        </w:rPr>
        <w:t>до</w:t>
      </w:r>
      <w:proofErr w:type="gramEnd"/>
      <w:r w:rsidRPr="007074DB">
        <w:rPr>
          <w:rFonts w:ascii="Times New Roman" w:hAnsi="Times New Roman" w:cs="Times New Roman"/>
          <w:sz w:val="28"/>
          <w:szCs w:val="28"/>
        </w:rPr>
        <w:t xml:space="preserve"> почти 9% во-второй </w:t>
      </w:r>
      <w:proofErr w:type="gramStart"/>
      <w:r w:rsidRPr="007074DB">
        <w:rPr>
          <w:rFonts w:ascii="Times New Roman" w:hAnsi="Times New Roman" w:cs="Times New Roman"/>
          <w:sz w:val="28"/>
          <w:szCs w:val="28"/>
        </w:rPr>
        <w:t>половине</w:t>
      </w:r>
      <w:proofErr w:type="gramEnd"/>
      <w:r w:rsidRPr="007074DB">
        <w:rPr>
          <w:rFonts w:ascii="Times New Roman" w:hAnsi="Times New Roman" w:cs="Times New Roman"/>
          <w:sz w:val="28"/>
          <w:szCs w:val="28"/>
        </w:rPr>
        <w:t xml:space="preserve"> 2012 года. Это позволило обеспечить стабильный рост потребительских расходов в 2012 году, в результате чего розничные продажи выросли на 5,9 %. </w:t>
      </w:r>
    </w:p>
    <w:p w:rsidR="008F7FE0" w:rsidRDefault="008F7FE0" w:rsidP="008F7FE0">
      <w:pPr>
        <w:spacing w:after="0" w:line="360" w:lineRule="auto"/>
        <w:jc w:val="both"/>
        <w:rPr>
          <w:rFonts w:ascii="Times New Roman" w:hAnsi="Times New Roman" w:cs="Times New Roman"/>
          <w:sz w:val="28"/>
          <w:szCs w:val="28"/>
        </w:rPr>
      </w:pPr>
    </w:p>
    <w:p w:rsidR="008F7FE0" w:rsidRDefault="008F7FE0" w:rsidP="008F7FE0">
      <w:pPr>
        <w:spacing w:after="0" w:line="360" w:lineRule="auto"/>
        <w:jc w:val="both"/>
        <w:rPr>
          <w:rFonts w:ascii="Times New Roman" w:hAnsi="Times New Roman" w:cs="Times New Roman"/>
          <w:sz w:val="28"/>
          <w:szCs w:val="28"/>
        </w:rPr>
      </w:pPr>
      <w:r>
        <w:rPr>
          <w:noProof/>
          <w:lang w:eastAsia="ru-RU"/>
        </w:rPr>
        <w:lastRenderedPageBreak/>
        <w:drawing>
          <wp:inline distT="0" distB="0" distL="0" distR="0" wp14:anchorId="7ECD1669" wp14:editId="129CDB15">
            <wp:extent cx="5947646" cy="3560496"/>
            <wp:effectExtent l="0" t="0" r="0" b="1905"/>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F7FE0" w:rsidRPr="007074DB" w:rsidRDefault="008F7FE0" w:rsidP="008F7FE0">
      <w:pPr>
        <w:spacing w:after="0" w:line="360" w:lineRule="auto"/>
        <w:jc w:val="both"/>
        <w:rPr>
          <w:rFonts w:ascii="Times New Roman" w:hAnsi="Times New Roman" w:cs="Times New Roman"/>
          <w:sz w:val="28"/>
          <w:szCs w:val="28"/>
        </w:rPr>
      </w:pPr>
    </w:p>
    <w:p w:rsidR="007074DB" w:rsidRDefault="007074DB" w:rsidP="004E3867">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 xml:space="preserve">Реальные располагаемые доходы населения в целом увеличились в 2012 году до 4,2% против 0,4% в 2011 году. Это во многом было связано с ускорением темпов кредитования населения — кредиты, предоставленные физическим лицам, за 2012 год возросли на 39,4 %, </w:t>
      </w:r>
      <w:r w:rsidR="004E3867" w:rsidRPr="004E3867">
        <w:rPr>
          <w:rFonts w:ascii="Times New Roman" w:hAnsi="Times New Roman" w:cs="Times New Roman"/>
          <w:sz w:val="28"/>
          <w:szCs w:val="28"/>
        </w:rPr>
        <w:t>против</w:t>
      </w:r>
      <w:r w:rsidR="004E3867">
        <w:rPr>
          <w:rFonts w:ascii="Times New Roman" w:hAnsi="Times New Roman" w:cs="Times New Roman"/>
          <w:sz w:val="28"/>
          <w:szCs w:val="28"/>
        </w:rPr>
        <w:t xml:space="preserve"> </w:t>
      </w:r>
      <w:r w:rsidR="004E3867" w:rsidRPr="004E3867">
        <w:rPr>
          <w:rFonts w:ascii="Times New Roman" w:hAnsi="Times New Roman" w:cs="Times New Roman"/>
          <w:sz w:val="28"/>
          <w:szCs w:val="28"/>
        </w:rPr>
        <w:t>увеличения на 35,9 % годом ранее</w:t>
      </w:r>
      <w:r w:rsidRPr="007074DB">
        <w:rPr>
          <w:rFonts w:ascii="Times New Roman" w:hAnsi="Times New Roman" w:cs="Times New Roman"/>
          <w:sz w:val="28"/>
          <w:szCs w:val="28"/>
        </w:rPr>
        <w:t>.</w:t>
      </w:r>
    </w:p>
    <w:p w:rsidR="004E3867" w:rsidRDefault="004E3867" w:rsidP="004E3867">
      <w:pPr>
        <w:spacing w:after="0" w:line="360" w:lineRule="auto"/>
        <w:ind w:firstLine="709"/>
        <w:jc w:val="both"/>
        <w:rPr>
          <w:rFonts w:ascii="Times New Roman" w:hAnsi="Times New Roman" w:cs="Times New Roman"/>
          <w:sz w:val="28"/>
          <w:szCs w:val="28"/>
        </w:rPr>
      </w:pPr>
    </w:p>
    <w:p w:rsidR="008F7FE0" w:rsidRDefault="008F7FE0" w:rsidP="00904134">
      <w:pPr>
        <w:spacing w:after="0" w:line="360" w:lineRule="auto"/>
        <w:jc w:val="center"/>
        <w:rPr>
          <w:rFonts w:ascii="Times New Roman" w:hAnsi="Times New Roman" w:cs="Times New Roman"/>
          <w:sz w:val="28"/>
          <w:szCs w:val="28"/>
        </w:rPr>
      </w:pPr>
      <w:r>
        <w:rPr>
          <w:noProof/>
          <w:lang w:eastAsia="ru-RU"/>
        </w:rPr>
        <w:drawing>
          <wp:inline distT="0" distB="0" distL="0" distR="0" wp14:anchorId="0E7B152A" wp14:editId="22E7B2B1">
            <wp:extent cx="5940425" cy="3385655"/>
            <wp:effectExtent l="0" t="0" r="3175" b="5715"/>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04134" w:rsidRPr="00904134" w:rsidRDefault="00904134" w:rsidP="00904134">
      <w:pPr>
        <w:autoSpaceDE w:val="0"/>
        <w:autoSpaceDN w:val="0"/>
        <w:adjustRightInd w:val="0"/>
        <w:spacing w:after="0" w:line="240" w:lineRule="auto"/>
        <w:jc w:val="center"/>
        <w:rPr>
          <w:rFonts w:ascii="PFAgoraSerifPro-Bold" w:hAnsi="PFAgoraSerifPro-Bold" w:cs="PFAgoraSerifPro-Bold"/>
          <w:b/>
          <w:bCs/>
          <w:color w:val="000000"/>
          <w:sz w:val="28"/>
          <w:szCs w:val="28"/>
        </w:rPr>
      </w:pPr>
      <w:r w:rsidRPr="00904134">
        <w:rPr>
          <w:rFonts w:ascii="PFAgoraSerifPro-Bold" w:hAnsi="PFAgoraSerifPro-Bold" w:cs="PFAgoraSerifPro-Bold"/>
          <w:b/>
          <w:bCs/>
          <w:color w:val="000000"/>
          <w:sz w:val="28"/>
          <w:szCs w:val="28"/>
        </w:rPr>
        <w:lastRenderedPageBreak/>
        <w:t>Основные показатели социально-экономического развития России</w:t>
      </w:r>
    </w:p>
    <w:p w:rsidR="00904134" w:rsidRPr="00904134" w:rsidRDefault="00904134" w:rsidP="00904134">
      <w:pPr>
        <w:autoSpaceDE w:val="0"/>
        <w:autoSpaceDN w:val="0"/>
        <w:adjustRightInd w:val="0"/>
        <w:spacing w:after="0" w:line="240" w:lineRule="auto"/>
        <w:jc w:val="center"/>
        <w:rPr>
          <w:rFonts w:ascii="PFAgoraSerifPro-Bold" w:hAnsi="PFAgoraSerifPro-Bold" w:cs="PFAgoraSerifPro-Bold"/>
          <w:b/>
          <w:bCs/>
          <w:color w:val="000000"/>
          <w:sz w:val="28"/>
          <w:szCs w:val="28"/>
        </w:rPr>
      </w:pPr>
      <w:r w:rsidRPr="00904134">
        <w:rPr>
          <w:rFonts w:ascii="PFAgoraSerifPro-Bold" w:hAnsi="PFAgoraSerifPro-Bold" w:cs="PFAgoraSerifPro-Bold"/>
          <w:b/>
          <w:bCs/>
          <w:color w:val="000000"/>
          <w:sz w:val="28"/>
          <w:szCs w:val="28"/>
        </w:rPr>
        <w:t>в 2008–2012 годах</w:t>
      </w:r>
    </w:p>
    <w:p w:rsidR="008F7FE0" w:rsidRDefault="00904134" w:rsidP="00904134">
      <w:pPr>
        <w:spacing w:after="0" w:line="360" w:lineRule="auto"/>
        <w:jc w:val="center"/>
        <w:rPr>
          <w:rFonts w:ascii="PFAgoraSerifPro-Bold" w:hAnsi="PFAgoraSerifPro-Bold" w:cs="PFAgoraSerifPro-Bold"/>
          <w:b/>
          <w:bCs/>
          <w:color w:val="000000"/>
          <w:sz w:val="28"/>
          <w:szCs w:val="28"/>
        </w:rPr>
      </w:pPr>
      <w:r w:rsidRPr="00904134">
        <w:rPr>
          <w:rFonts w:ascii="PFAgoraSerifPro-Bold" w:hAnsi="PFAgoraSerifPro-Bold" w:cs="PFAgoraSerifPro-Bold"/>
          <w:b/>
          <w:bCs/>
          <w:color w:val="000000"/>
          <w:sz w:val="28"/>
          <w:szCs w:val="28"/>
        </w:rPr>
        <w:t>(</w:t>
      </w:r>
      <w:proofErr w:type="gramStart"/>
      <w:r w:rsidRPr="00904134">
        <w:rPr>
          <w:rFonts w:ascii="PFAgoraSerifPro-Bold" w:hAnsi="PFAgoraSerifPro-Bold" w:cs="PFAgoraSerifPro-Bold"/>
          <w:b/>
          <w:bCs/>
          <w:color w:val="000000"/>
          <w:sz w:val="28"/>
          <w:szCs w:val="28"/>
        </w:rPr>
        <w:t>в</w:t>
      </w:r>
      <w:proofErr w:type="gramEnd"/>
      <w:r w:rsidRPr="00904134">
        <w:rPr>
          <w:rFonts w:ascii="PFAgoraSerifPro-Bold" w:hAnsi="PFAgoraSerifPro-Bold" w:cs="PFAgoraSerifPro-Bold"/>
          <w:b/>
          <w:bCs/>
          <w:color w:val="000000"/>
          <w:sz w:val="28"/>
          <w:szCs w:val="28"/>
        </w:rPr>
        <w:t xml:space="preserve"> % </w:t>
      </w:r>
      <w:proofErr w:type="gramStart"/>
      <w:r w:rsidRPr="00904134">
        <w:rPr>
          <w:rFonts w:ascii="PFAgoraSerifPro-Bold" w:hAnsi="PFAgoraSerifPro-Bold" w:cs="PFAgoraSerifPro-Bold"/>
          <w:b/>
          <w:bCs/>
          <w:color w:val="000000"/>
          <w:sz w:val="28"/>
          <w:szCs w:val="28"/>
        </w:rPr>
        <w:t>к</w:t>
      </w:r>
      <w:proofErr w:type="gramEnd"/>
      <w:r w:rsidRPr="00904134">
        <w:rPr>
          <w:rFonts w:ascii="PFAgoraSerifPro-Bold" w:hAnsi="PFAgoraSerifPro-Bold" w:cs="PFAgoraSerifPro-Bold"/>
          <w:b/>
          <w:bCs/>
          <w:color w:val="000000"/>
          <w:sz w:val="28"/>
          <w:szCs w:val="28"/>
        </w:rPr>
        <w:t xml:space="preserve"> предыдущему году)</w:t>
      </w:r>
    </w:p>
    <w:p w:rsidR="00904134" w:rsidRPr="00904134" w:rsidRDefault="00904134" w:rsidP="00904134">
      <w:pPr>
        <w:spacing w:after="0" w:line="360" w:lineRule="auto"/>
        <w:jc w:val="center"/>
        <w:rPr>
          <w:rFonts w:ascii="Times New Roman" w:hAnsi="Times New Roman" w:cs="Times New Roman"/>
          <w:sz w:val="28"/>
          <w:szCs w:val="28"/>
        </w:rPr>
      </w:pPr>
    </w:p>
    <w:tbl>
      <w:tblPr>
        <w:tblW w:w="9655" w:type="dxa"/>
        <w:tblInd w:w="93" w:type="dxa"/>
        <w:tblLook w:val="04A0" w:firstRow="1" w:lastRow="0" w:firstColumn="1" w:lastColumn="0" w:noHBand="0" w:noVBand="1"/>
      </w:tblPr>
      <w:tblGrid>
        <w:gridCol w:w="3843"/>
        <w:gridCol w:w="820"/>
        <w:gridCol w:w="960"/>
        <w:gridCol w:w="960"/>
        <w:gridCol w:w="960"/>
        <w:gridCol w:w="960"/>
        <w:gridCol w:w="1152"/>
      </w:tblGrid>
      <w:tr w:rsidR="00904134" w:rsidRPr="00904134" w:rsidTr="00CC5DAE">
        <w:trPr>
          <w:trHeight w:val="2100"/>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Наименование показателя</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2008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2009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2010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2011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2012</w:t>
            </w:r>
          </w:p>
        </w:tc>
        <w:tc>
          <w:tcPr>
            <w:tcW w:w="1152" w:type="dxa"/>
            <w:tcBorders>
              <w:top w:val="single" w:sz="4" w:space="0" w:color="auto"/>
              <w:left w:val="nil"/>
              <w:bottom w:val="single" w:sz="4" w:space="0" w:color="auto"/>
              <w:right w:val="single" w:sz="4" w:space="0" w:color="auto"/>
            </w:tcBorders>
            <w:shd w:val="clear" w:color="auto" w:fill="auto"/>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Ср. годовые</w:t>
            </w:r>
            <w:r w:rsidRPr="00904134">
              <w:rPr>
                <w:rFonts w:ascii="Times New Roman" w:eastAsia="Times New Roman" w:hAnsi="Times New Roman" w:cs="Times New Roman"/>
                <w:b/>
                <w:color w:val="000000"/>
                <w:lang w:eastAsia="ru-RU"/>
              </w:rPr>
              <w:br/>
              <w:t>темпы роста в</w:t>
            </w:r>
            <w:r w:rsidRPr="00904134">
              <w:rPr>
                <w:rFonts w:ascii="Times New Roman" w:eastAsia="Times New Roman" w:hAnsi="Times New Roman" w:cs="Times New Roman"/>
                <w:b/>
                <w:color w:val="000000"/>
                <w:lang w:eastAsia="ru-RU"/>
              </w:rPr>
              <w:br/>
              <w:t>2008–2012 гг.</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ВВП</w:t>
            </w:r>
            <w:proofErr w:type="gramStart"/>
            <w:r w:rsidRPr="00904134">
              <w:rPr>
                <w:rFonts w:ascii="Times New Roman" w:eastAsia="Times New Roman" w:hAnsi="Times New Roman" w:cs="Times New Roman"/>
                <w:b/>
                <w:color w:val="000000"/>
                <w:lang w:eastAsia="ru-RU"/>
              </w:rPr>
              <w:t>1</w:t>
            </w:r>
            <w:proofErr w:type="gramEnd"/>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105,2</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92,2</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104,5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104,3</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103,4</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101,8</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Индекс потребительских цен, на конец года</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113,3</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108,8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108,8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106,1</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106,6</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108,7</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Индекс промышленного производства</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101</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90,7</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108,2</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104,7</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102,6</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101,2</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Индекс обрабатывающих производств</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100,5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84,8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111,8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106,5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104,1</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101,1</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Индекс производства продукции сельского хозяйства</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110,8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101,4</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88,7</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123</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95,3</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103,2</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Инвестиции в основной капитал</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109,9</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84,3</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106</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110,8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106,6</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103,5</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Объем работ по виду деятельности «Строительство»</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112,8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86,8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105,1</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102,4</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102</w:t>
            </w:r>
            <w:r>
              <w:rPr>
                <w:rFonts w:ascii="Times New Roman" w:eastAsia="Times New Roman" w:hAnsi="Times New Roman" w:cs="Times New Roman"/>
                <w:b/>
                <w:color w:val="000000"/>
                <w:lang w:eastAsia="ru-RU"/>
              </w:rPr>
              <w:t>,0</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Реальные располагаемые денежные доходы</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102,4</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103</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105,9</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100,4</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104,2</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103,2</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Реальная начисленная среднемесячная заработная плата</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111,5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96,5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105,2</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102,8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108,4</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104,8</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Оборот розничной торговли</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113,7</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94,9</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106,4</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107</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105,9</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105,4</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Объем платных услуг населению</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104,3</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97,5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101,5</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103,2</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103,7</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102</w:t>
            </w:r>
            <w:r>
              <w:rPr>
                <w:rFonts w:ascii="Times New Roman" w:eastAsia="Times New Roman" w:hAnsi="Times New Roman" w:cs="Times New Roman"/>
                <w:b/>
                <w:color w:val="000000"/>
                <w:lang w:eastAsia="ru-RU"/>
              </w:rPr>
              <w:t>,0</w:t>
            </w: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 xml:space="preserve">Экспорт товаров, </w:t>
            </w:r>
            <w:proofErr w:type="gramStart"/>
            <w:r w:rsidRPr="00904134">
              <w:rPr>
                <w:rFonts w:ascii="Times New Roman" w:eastAsia="Times New Roman" w:hAnsi="Times New Roman" w:cs="Times New Roman"/>
                <w:b/>
                <w:color w:val="000000"/>
                <w:lang w:eastAsia="ru-RU"/>
              </w:rPr>
              <w:t>млрд</w:t>
            </w:r>
            <w:proofErr w:type="gramEnd"/>
            <w:r w:rsidRPr="00904134">
              <w:rPr>
                <w:rFonts w:ascii="Times New Roman" w:eastAsia="Times New Roman" w:hAnsi="Times New Roman" w:cs="Times New Roman"/>
                <w:b/>
                <w:color w:val="000000"/>
                <w:lang w:eastAsia="ru-RU"/>
              </w:rPr>
              <w:t xml:space="preserve"> долл. США</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471,6</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303,4</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400,6</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522</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529,3</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b/>
                <w:color w:val="000000"/>
                <w:lang w:eastAsia="ru-RU"/>
              </w:rPr>
            </w:pPr>
          </w:p>
        </w:tc>
      </w:tr>
      <w:tr w:rsidR="00904134" w:rsidRPr="00904134" w:rsidTr="00CC5DAE">
        <w:trPr>
          <w:trHeight w:val="300"/>
        </w:trPr>
        <w:tc>
          <w:tcPr>
            <w:tcW w:w="3843" w:type="dxa"/>
            <w:tcBorders>
              <w:top w:val="nil"/>
              <w:left w:val="single" w:sz="4" w:space="0" w:color="auto"/>
              <w:bottom w:val="single" w:sz="4" w:space="0" w:color="auto"/>
              <w:right w:val="single" w:sz="4" w:space="0" w:color="auto"/>
            </w:tcBorders>
            <w:shd w:val="clear" w:color="auto" w:fill="auto"/>
            <w:noWrap/>
            <w:vAlign w:val="bottom"/>
            <w:hideMark/>
          </w:tcPr>
          <w:p w:rsidR="00904134" w:rsidRPr="00904134" w:rsidRDefault="00904134" w:rsidP="00904134">
            <w:pPr>
              <w:spacing w:after="0" w:line="240" w:lineRule="auto"/>
              <w:rPr>
                <w:rFonts w:ascii="Times New Roman" w:eastAsia="Times New Roman" w:hAnsi="Times New Roman" w:cs="Times New Roman"/>
                <w:b/>
                <w:color w:val="000000"/>
                <w:lang w:eastAsia="ru-RU"/>
              </w:rPr>
            </w:pPr>
            <w:r w:rsidRPr="00904134">
              <w:rPr>
                <w:rFonts w:ascii="Times New Roman" w:eastAsia="Times New Roman" w:hAnsi="Times New Roman" w:cs="Times New Roman"/>
                <w:b/>
                <w:color w:val="000000"/>
                <w:lang w:eastAsia="ru-RU"/>
              </w:rPr>
              <w:t xml:space="preserve">Импорт товаров, </w:t>
            </w:r>
            <w:proofErr w:type="gramStart"/>
            <w:r w:rsidRPr="00904134">
              <w:rPr>
                <w:rFonts w:ascii="Times New Roman" w:eastAsia="Times New Roman" w:hAnsi="Times New Roman" w:cs="Times New Roman"/>
                <w:b/>
                <w:color w:val="000000"/>
                <w:lang w:eastAsia="ru-RU"/>
              </w:rPr>
              <w:t>млрд</w:t>
            </w:r>
            <w:proofErr w:type="gramEnd"/>
            <w:r w:rsidRPr="00904134">
              <w:rPr>
                <w:rFonts w:ascii="Times New Roman" w:eastAsia="Times New Roman" w:hAnsi="Times New Roman" w:cs="Times New Roman"/>
                <w:b/>
                <w:color w:val="000000"/>
                <w:lang w:eastAsia="ru-RU"/>
              </w:rPr>
              <w:t xml:space="preserve"> долл. США</w:t>
            </w:r>
          </w:p>
        </w:tc>
        <w:tc>
          <w:tcPr>
            <w:tcW w:w="82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291,9</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191,8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248,6</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323,8</w:t>
            </w:r>
          </w:p>
        </w:tc>
        <w:tc>
          <w:tcPr>
            <w:tcW w:w="960"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r w:rsidRPr="00904134">
              <w:rPr>
                <w:rFonts w:ascii="Times New Roman" w:eastAsia="Times New Roman" w:hAnsi="Times New Roman" w:cs="Times New Roman"/>
                <w:color w:val="000000"/>
                <w:lang w:eastAsia="ru-RU"/>
              </w:rPr>
              <w:t>335,4</w:t>
            </w:r>
          </w:p>
        </w:tc>
        <w:tc>
          <w:tcPr>
            <w:tcW w:w="1152" w:type="dxa"/>
            <w:tcBorders>
              <w:top w:val="nil"/>
              <w:left w:val="nil"/>
              <w:bottom w:val="single" w:sz="4" w:space="0" w:color="auto"/>
              <w:right w:val="single" w:sz="4" w:space="0" w:color="auto"/>
            </w:tcBorders>
            <w:shd w:val="clear" w:color="auto" w:fill="auto"/>
            <w:noWrap/>
            <w:vAlign w:val="center"/>
            <w:hideMark/>
          </w:tcPr>
          <w:p w:rsidR="00904134" w:rsidRPr="00904134" w:rsidRDefault="00904134" w:rsidP="00904134">
            <w:pPr>
              <w:spacing w:after="0" w:line="240" w:lineRule="auto"/>
              <w:jc w:val="center"/>
              <w:rPr>
                <w:rFonts w:ascii="Times New Roman" w:eastAsia="Times New Roman" w:hAnsi="Times New Roman" w:cs="Times New Roman"/>
                <w:color w:val="000000"/>
                <w:lang w:eastAsia="ru-RU"/>
              </w:rPr>
            </w:pPr>
          </w:p>
        </w:tc>
      </w:tr>
    </w:tbl>
    <w:p w:rsidR="00904134" w:rsidRDefault="00904134" w:rsidP="007074DB">
      <w:pPr>
        <w:spacing w:after="0" w:line="360" w:lineRule="auto"/>
        <w:ind w:firstLine="709"/>
        <w:jc w:val="both"/>
        <w:rPr>
          <w:rFonts w:ascii="Times New Roman" w:hAnsi="Times New Roman" w:cs="Times New Roman"/>
          <w:sz w:val="28"/>
          <w:szCs w:val="28"/>
        </w:rPr>
      </w:pPr>
    </w:p>
    <w:p w:rsidR="007074DB" w:rsidRPr="007074DB"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t xml:space="preserve">В свою очередь активное развитие сферы кредитования повысила инфляционные риски. В результате ставка рефинансирования Центрального банка России </w:t>
      </w:r>
      <w:r w:rsidR="004E3867">
        <w:rPr>
          <w:rFonts w:ascii="Times New Roman" w:hAnsi="Times New Roman" w:cs="Times New Roman"/>
          <w:sz w:val="28"/>
          <w:szCs w:val="28"/>
        </w:rPr>
        <w:t xml:space="preserve">в сентябре 2012 года </w:t>
      </w:r>
      <w:r w:rsidRPr="007074DB">
        <w:rPr>
          <w:rFonts w:ascii="Times New Roman" w:hAnsi="Times New Roman" w:cs="Times New Roman"/>
          <w:sz w:val="28"/>
          <w:szCs w:val="28"/>
        </w:rPr>
        <w:t xml:space="preserve">выросла по отношению к предыдущему году на 0,25% и </w:t>
      </w:r>
      <w:r w:rsidR="004E3867">
        <w:rPr>
          <w:rFonts w:ascii="Times New Roman" w:hAnsi="Times New Roman" w:cs="Times New Roman"/>
          <w:sz w:val="28"/>
          <w:szCs w:val="28"/>
        </w:rPr>
        <w:t>составила</w:t>
      </w:r>
      <w:r w:rsidRPr="007074DB">
        <w:rPr>
          <w:rFonts w:ascii="Times New Roman" w:hAnsi="Times New Roman" w:cs="Times New Roman"/>
          <w:sz w:val="28"/>
          <w:szCs w:val="28"/>
        </w:rPr>
        <w:t xml:space="preserve"> 8,25%. Ужесточением монетарной политики, по мнению многих экспертов, было оправдано. С помощью этого Банк России намеревается сдерживать инфляционные ожидания, так как рост продовольственных цен, быстрые темпы роста кредитования, а также напряженность на рынке труда указывают на возможность дальнейшего роста инфляции</w:t>
      </w:r>
    </w:p>
    <w:p w:rsidR="00CA02E4" w:rsidRDefault="007074DB" w:rsidP="007074DB">
      <w:pPr>
        <w:spacing w:after="0" w:line="360" w:lineRule="auto"/>
        <w:ind w:firstLine="709"/>
        <w:jc w:val="both"/>
        <w:rPr>
          <w:rFonts w:ascii="Times New Roman" w:hAnsi="Times New Roman" w:cs="Times New Roman"/>
          <w:sz w:val="28"/>
          <w:szCs w:val="28"/>
        </w:rPr>
      </w:pPr>
      <w:r w:rsidRPr="007074DB">
        <w:rPr>
          <w:rFonts w:ascii="Times New Roman" w:hAnsi="Times New Roman" w:cs="Times New Roman"/>
          <w:sz w:val="28"/>
          <w:szCs w:val="28"/>
        </w:rPr>
        <w:lastRenderedPageBreak/>
        <w:t>В целом</w:t>
      </w:r>
      <w:r w:rsidR="004E3867" w:rsidRPr="004E3867">
        <w:rPr>
          <w:rFonts w:ascii="Times New Roman" w:hAnsi="Times New Roman" w:cs="Times New Roman"/>
          <w:sz w:val="28"/>
          <w:szCs w:val="28"/>
        </w:rPr>
        <w:t xml:space="preserve"> </w:t>
      </w:r>
      <w:r w:rsidR="004E3867" w:rsidRPr="007074DB">
        <w:rPr>
          <w:rFonts w:ascii="Times New Roman" w:hAnsi="Times New Roman" w:cs="Times New Roman"/>
          <w:sz w:val="28"/>
          <w:szCs w:val="28"/>
        </w:rPr>
        <w:t>экономическая ситуация в России складывалась благоприятно</w:t>
      </w:r>
      <w:r w:rsidRPr="007074DB">
        <w:rPr>
          <w:rFonts w:ascii="Times New Roman" w:hAnsi="Times New Roman" w:cs="Times New Roman"/>
          <w:sz w:val="28"/>
          <w:szCs w:val="28"/>
        </w:rPr>
        <w:t>, не смотря на нестабильность в мировой экономике, вызванной кризисом еврозоны и некоторыми фа</w:t>
      </w:r>
      <w:r w:rsidR="004E3867">
        <w:rPr>
          <w:rFonts w:ascii="Times New Roman" w:hAnsi="Times New Roman" w:cs="Times New Roman"/>
          <w:sz w:val="28"/>
          <w:szCs w:val="28"/>
        </w:rPr>
        <w:t>кторами внутренних диспропорций</w:t>
      </w:r>
      <w:r w:rsidRPr="007074DB">
        <w:rPr>
          <w:rFonts w:ascii="Times New Roman" w:hAnsi="Times New Roman" w:cs="Times New Roman"/>
          <w:sz w:val="28"/>
          <w:szCs w:val="28"/>
        </w:rPr>
        <w:t>. Данное обстоятельство, безусловно, оказало влияние и на социально-экономическое положение в регионах России.</w:t>
      </w:r>
    </w:p>
    <w:p w:rsidR="00CA02E4" w:rsidRDefault="00CA02E4" w:rsidP="000D6B0B">
      <w:pPr>
        <w:spacing w:after="0" w:line="360" w:lineRule="auto"/>
        <w:ind w:firstLine="709"/>
        <w:jc w:val="both"/>
        <w:rPr>
          <w:rFonts w:ascii="Times New Roman" w:hAnsi="Times New Roman" w:cs="Times New Roman"/>
          <w:sz w:val="28"/>
          <w:szCs w:val="28"/>
        </w:rPr>
      </w:pPr>
    </w:p>
    <w:p w:rsidR="00CA02E4" w:rsidRDefault="00CA02E4" w:rsidP="000D6B0B">
      <w:pPr>
        <w:spacing w:after="0" w:line="360" w:lineRule="auto"/>
        <w:ind w:firstLine="709"/>
        <w:jc w:val="both"/>
        <w:rPr>
          <w:rFonts w:ascii="Times New Roman" w:hAnsi="Times New Roman" w:cs="Times New Roman"/>
          <w:sz w:val="28"/>
          <w:szCs w:val="28"/>
        </w:rPr>
      </w:pPr>
    </w:p>
    <w:p w:rsidR="00CA02E4" w:rsidRDefault="00CA02E4">
      <w:pPr>
        <w:rPr>
          <w:rFonts w:ascii="Times New Roman" w:hAnsi="Times New Roman" w:cs="Times New Roman"/>
          <w:sz w:val="28"/>
          <w:szCs w:val="28"/>
        </w:rPr>
      </w:pPr>
      <w:r>
        <w:rPr>
          <w:rFonts w:ascii="Times New Roman" w:hAnsi="Times New Roman" w:cs="Times New Roman"/>
          <w:sz w:val="28"/>
          <w:szCs w:val="28"/>
        </w:rPr>
        <w:br w:type="page"/>
      </w:r>
    </w:p>
    <w:p w:rsidR="00CA02E4" w:rsidRPr="007074DB" w:rsidRDefault="00CA02E4" w:rsidP="007074DB">
      <w:pPr>
        <w:spacing w:after="0" w:line="360" w:lineRule="auto"/>
        <w:ind w:firstLine="709"/>
        <w:jc w:val="center"/>
        <w:rPr>
          <w:rFonts w:ascii="Times New Roman" w:hAnsi="Times New Roman" w:cs="Times New Roman"/>
          <w:b/>
          <w:sz w:val="28"/>
          <w:szCs w:val="28"/>
        </w:rPr>
      </w:pPr>
      <w:r w:rsidRPr="007074DB">
        <w:rPr>
          <w:rFonts w:ascii="Times New Roman" w:hAnsi="Times New Roman" w:cs="Times New Roman"/>
          <w:b/>
          <w:sz w:val="28"/>
          <w:szCs w:val="28"/>
        </w:rPr>
        <w:lastRenderedPageBreak/>
        <w:t>Экономика Чеченской Республики</w:t>
      </w:r>
    </w:p>
    <w:p w:rsidR="00CA02E4" w:rsidRDefault="00CA02E4" w:rsidP="000D6B0B">
      <w:pPr>
        <w:spacing w:after="0" w:line="360" w:lineRule="auto"/>
        <w:ind w:firstLine="709"/>
        <w:jc w:val="both"/>
        <w:rPr>
          <w:rFonts w:ascii="Times New Roman" w:hAnsi="Times New Roman" w:cs="Times New Roman"/>
          <w:sz w:val="28"/>
          <w:szCs w:val="28"/>
        </w:rPr>
      </w:pPr>
    </w:p>
    <w:p w:rsidR="00B96AB9" w:rsidRDefault="00B96AB9" w:rsidP="009C1D5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прошедшем году в республике продолжалась работа по развитию условий для </w:t>
      </w:r>
      <w:r w:rsidR="004E3867">
        <w:rPr>
          <w:rFonts w:ascii="Times New Roman" w:hAnsi="Times New Roman" w:cs="Times New Roman"/>
          <w:sz w:val="28"/>
          <w:szCs w:val="28"/>
        </w:rPr>
        <w:t xml:space="preserve">обеспечения </w:t>
      </w:r>
      <w:r>
        <w:rPr>
          <w:rFonts w:ascii="Times New Roman" w:hAnsi="Times New Roman" w:cs="Times New Roman"/>
          <w:sz w:val="28"/>
          <w:szCs w:val="28"/>
        </w:rPr>
        <w:t>экономической активности населения. Хотя сохраняются отдельные проблемы, однако в целом ситуация имела положительную динамику.</w:t>
      </w:r>
    </w:p>
    <w:p w:rsidR="009C1D54" w:rsidRDefault="009C1D54" w:rsidP="009C1D54">
      <w:pPr>
        <w:spacing w:after="0" w:line="360" w:lineRule="auto"/>
        <w:ind w:firstLine="709"/>
        <w:jc w:val="both"/>
        <w:rPr>
          <w:rFonts w:ascii="Times New Roman" w:hAnsi="Times New Roman" w:cs="Times New Roman"/>
          <w:sz w:val="28"/>
          <w:szCs w:val="28"/>
        </w:rPr>
      </w:pPr>
      <w:r w:rsidRPr="009C1D54">
        <w:rPr>
          <w:rFonts w:ascii="Times New Roman" w:hAnsi="Times New Roman" w:cs="Times New Roman"/>
          <w:sz w:val="28"/>
          <w:szCs w:val="28"/>
        </w:rPr>
        <w:t>Состояние экономики Чеченской Республики в общих чертах характеризуют следующие показатели. Объем отгруженных товаров собственного производства, выполненных работ и оказанных услуг собственными силами в 2012 году составил 42 млрд. 866,4 млн. рублей. Сокращение произошло на 5,7% по отношению к 2011 году. Это главным образом, объясняется снижением физического объема выполненных работ по виду деятельности «Строительство». Объем инвестиций в основной капитал по предварительным данным за счет всех источников финансирования в отчетном периоде составил 53 млрд. 506,3 млн. рублей, что на 4% ниже уровня 2011 года.</w:t>
      </w:r>
      <w:r w:rsidR="00B96AB9">
        <w:rPr>
          <w:rFonts w:ascii="Times New Roman" w:hAnsi="Times New Roman" w:cs="Times New Roman"/>
          <w:sz w:val="28"/>
          <w:szCs w:val="28"/>
        </w:rPr>
        <w:t xml:space="preserve"> </w:t>
      </w:r>
      <w:r w:rsidR="00B96AB9" w:rsidRPr="00B96AB9">
        <w:rPr>
          <w:rFonts w:ascii="Times New Roman" w:hAnsi="Times New Roman" w:cs="Times New Roman"/>
          <w:sz w:val="28"/>
          <w:szCs w:val="28"/>
        </w:rPr>
        <w:t>В общем объеме инвестиций средства субъектов малого предпринимательства и параметров неформальной деятельности составляют 31,6%, бюджетные средства – 54,7%, прочие средства – 7,5% и собственные средства предприятий – 6,2%.</w:t>
      </w:r>
    </w:p>
    <w:p w:rsidR="00DA360C" w:rsidRDefault="009C1D54" w:rsidP="009C1D54">
      <w:pPr>
        <w:spacing w:after="0" w:line="360" w:lineRule="auto"/>
        <w:ind w:firstLine="709"/>
        <w:jc w:val="both"/>
        <w:rPr>
          <w:rFonts w:ascii="Times New Roman" w:hAnsi="Times New Roman" w:cs="Times New Roman"/>
          <w:sz w:val="28"/>
          <w:szCs w:val="28"/>
        </w:rPr>
      </w:pPr>
      <w:r w:rsidRPr="009C1D54">
        <w:rPr>
          <w:rFonts w:ascii="Times New Roman" w:hAnsi="Times New Roman" w:cs="Times New Roman"/>
          <w:sz w:val="28"/>
          <w:szCs w:val="28"/>
        </w:rPr>
        <w:t>Отгружено продукции обрабатывающих производств на 1 млрд. 650,4 млн. руб. или 135,5% к уровню 2011 года. Наибольшую долю в объеме продукции обрабатывающих производств занимают такие виды экономической деятельности, как производство прочих неметаллических минеральных продуктов – 42,3%, производство пищевых продуктов, включая напитки и табак – 19,1%, производство транспортных средств и оборудования – 15,6%, производство электрических машин и электрооборудования – 13,3%.</w:t>
      </w:r>
    </w:p>
    <w:p w:rsidR="00DA360C" w:rsidRDefault="00DA360C" w:rsidP="009C1D54">
      <w:pPr>
        <w:spacing w:after="0" w:line="360" w:lineRule="auto"/>
        <w:ind w:firstLine="709"/>
        <w:jc w:val="both"/>
        <w:rPr>
          <w:rFonts w:ascii="Times New Roman" w:hAnsi="Times New Roman" w:cs="Times New Roman"/>
          <w:sz w:val="28"/>
          <w:szCs w:val="28"/>
        </w:rPr>
      </w:pPr>
    </w:p>
    <w:p w:rsidR="00DA360C" w:rsidRPr="009C1D54" w:rsidRDefault="00DA360C" w:rsidP="00DA360C">
      <w:pPr>
        <w:spacing w:after="0" w:line="360" w:lineRule="auto"/>
        <w:jc w:val="both"/>
        <w:rPr>
          <w:rFonts w:ascii="Times New Roman" w:hAnsi="Times New Roman" w:cs="Times New Roman"/>
          <w:sz w:val="28"/>
          <w:szCs w:val="28"/>
        </w:rPr>
      </w:pPr>
      <w:r>
        <w:rPr>
          <w:noProof/>
          <w:lang w:eastAsia="ru-RU"/>
        </w:rPr>
        <w:lastRenderedPageBreak/>
        <w:drawing>
          <wp:inline distT="0" distB="0" distL="0" distR="0" wp14:anchorId="02C04DE7" wp14:editId="16B1D029">
            <wp:extent cx="6052842" cy="3188262"/>
            <wp:effectExtent l="0" t="0" r="508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01124" w:rsidRDefault="00801124" w:rsidP="009C1D54">
      <w:pPr>
        <w:spacing w:after="0" w:line="360" w:lineRule="auto"/>
        <w:ind w:firstLine="709"/>
        <w:jc w:val="both"/>
        <w:rPr>
          <w:rFonts w:ascii="Times New Roman" w:hAnsi="Times New Roman" w:cs="Times New Roman"/>
          <w:sz w:val="28"/>
          <w:szCs w:val="28"/>
        </w:rPr>
      </w:pPr>
    </w:p>
    <w:p w:rsidR="00DA360C" w:rsidRDefault="00DA360C" w:rsidP="009C1D54">
      <w:pPr>
        <w:spacing w:after="0" w:line="360" w:lineRule="auto"/>
        <w:ind w:firstLine="709"/>
        <w:jc w:val="both"/>
        <w:rPr>
          <w:rFonts w:ascii="Times New Roman" w:hAnsi="Times New Roman" w:cs="Times New Roman"/>
          <w:sz w:val="28"/>
          <w:szCs w:val="28"/>
        </w:rPr>
      </w:pPr>
      <w:r w:rsidRPr="00DA360C">
        <w:rPr>
          <w:rFonts w:ascii="Times New Roman" w:hAnsi="Times New Roman" w:cs="Times New Roman"/>
          <w:sz w:val="28"/>
          <w:szCs w:val="28"/>
        </w:rPr>
        <w:t>В республике добыто полезных ископаемых на общую сумму 4</w:t>
      </w:r>
      <w:r w:rsidR="004E3867">
        <w:rPr>
          <w:rFonts w:ascii="Times New Roman" w:hAnsi="Times New Roman" w:cs="Times New Roman"/>
          <w:sz w:val="28"/>
          <w:szCs w:val="28"/>
        </w:rPr>
        <w:t xml:space="preserve"> </w:t>
      </w:r>
      <w:r w:rsidRPr="00DA360C">
        <w:rPr>
          <w:rFonts w:ascii="Times New Roman" w:hAnsi="Times New Roman" w:cs="Times New Roman"/>
          <w:sz w:val="28"/>
          <w:szCs w:val="28"/>
        </w:rPr>
        <w:t xml:space="preserve">339,0 млн. рублей, что составляет 98,9% к прошлому году. Добыча нефти составила 639,1 тыс. тонн или 79,5% к уровню 2011 года, что вызвано опережающим падением базовой добычи нефти, в связи с ростом </w:t>
      </w:r>
      <w:proofErr w:type="spellStart"/>
      <w:r w:rsidRPr="00DA360C">
        <w:rPr>
          <w:rFonts w:ascii="Times New Roman" w:hAnsi="Times New Roman" w:cs="Times New Roman"/>
          <w:sz w:val="28"/>
          <w:szCs w:val="28"/>
        </w:rPr>
        <w:t>обводненности</w:t>
      </w:r>
      <w:proofErr w:type="spellEnd"/>
      <w:r w:rsidRPr="00DA360C">
        <w:rPr>
          <w:rFonts w:ascii="Times New Roman" w:hAnsi="Times New Roman" w:cs="Times New Roman"/>
          <w:sz w:val="28"/>
          <w:szCs w:val="28"/>
        </w:rPr>
        <w:t xml:space="preserve"> скважин и истощением запасов на завершающей стадии разработки месторождений.</w:t>
      </w:r>
    </w:p>
    <w:p w:rsidR="00DA360C" w:rsidRPr="00DA360C" w:rsidRDefault="00DA360C" w:rsidP="00DA360C">
      <w:pPr>
        <w:spacing w:after="0" w:line="360" w:lineRule="auto"/>
        <w:ind w:firstLine="709"/>
        <w:jc w:val="both"/>
        <w:rPr>
          <w:rFonts w:ascii="Times New Roman" w:hAnsi="Times New Roman" w:cs="Times New Roman"/>
          <w:sz w:val="28"/>
          <w:szCs w:val="28"/>
        </w:rPr>
      </w:pPr>
      <w:r w:rsidRPr="00DA360C">
        <w:rPr>
          <w:rFonts w:ascii="Times New Roman" w:hAnsi="Times New Roman" w:cs="Times New Roman"/>
          <w:sz w:val="28"/>
          <w:szCs w:val="28"/>
        </w:rPr>
        <w:t>Производство и распределение электроэнергии, газа и воды составило в 2012 году 8</w:t>
      </w:r>
      <w:r w:rsidR="00FA00B4">
        <w:rPr>
          <w:rFonts w:ascii="Times New Roman" w:hAnsi="Times New Roman" w:cs="Times New Roman"/>
          <w:sz w:val="28"/>
          <w:szCs w:val="28"/>
        </w:rPr>
        <w:t xml:space="preserve"> </w:t>
      </w:r>
      <w:r w:rsidRPr="00DA360C">
        <w:rPr>
          <w:rFonts w:ascii="Times New Roman" w:hAnsi="Times New Roman" w:cs="Times New Roman"/>
          <w:sz w:val="28"/>
          <w:szCs w:val="28"/>
        </w:rPr>
        <w:t xml:space="preserve">564,5 млн. рублей или 120,2%.  </w:t>
      </w:r>
    </w:p>
    <w:p w:rsidR="00DA360C" w:rsidRDefault="00DA360C" w:rsidP="00DA360C">
      <w:pPr>
        <w:spacing w:after="0" w:line="360" w:lineRule="auto"/>
        <w:ind w:firstLine="709"/>
        <w:jc w:val="both"/>
        <w:rPr>
          <w:rFonts w:ascii="Times New Roman" w:hAnsi="Times New Roman" w:cs="Times New Roman"/>
          <w:sz w:val="28"/>
          <w:szCs w:val="28"/>
        </w:rPr>
      </w:pPr>
      <w:r w:rsidRPr="00DA360C">
        <w:rPr>
          <w:rFonts w:ascii="Times New Roman" w:hAnsi="Times New Roman" w:cs="Times New Roman"/>
          <w:sz w:val="28"/>
          <w:szCs w:val="28"/>
        </w:rPr>
        <w:t>Объем выполненных работ по виду деятельности «строительство» за отчетный период составил 24</w:t>
      </w:r>
      <w:r w:rsidR="00FA00B4">
        <w:rPr>
          <w:rFonts w:ascii="Times New Roman" w:hAnsi="Times New Roman" w:cs="Times New Roman"/>
          <w:sz w:val="28"/>
          <w:szCs w:val="28"/>
        </w:rPr>
        <w:t xml:space="preserve"> </w:t>
      </w:r>
      <w:r w:rsidRPr="00DA360C">
        <w:rPr>
          <w:rFonts w:ascii="Times New Roman" w:hAnsi="Times New Roman" w:cs="Times New Roman"/>
          <w:sz w:val="28"/>
          <w:szCs w:val="28"/>
        </w:rPr>
        <w:t xml:space="preserve">428,9 млн. рублей или 105,4% к уровню 2011 года. Высокий темп роста по объемам строительных работ, несмотря на падение физического объема, связан со снижением к концу 2012 года сводного индекса цен строительной продукции </w:t>
      </w:r>
      <w:r w:rsidR="00FA00B4">
        <w:rPr>
          <w:rFonts w:ascii="Times New Roman" w:hAnsi="Times New Roman" w:cs="Times New Roman"/>
          <w:sz w:val="28"/>
          <w:szCs w:val="28"/>
        </w:rPr>
        <w:t>до 86,4% к декабрю 2011 года.</w:t>
      </w:r>
    </w:p>
    <w:p w:rsidR="00FA00B4" w:rsidRPr="00FA00B4" w:rsidRDefault="00FA00B4" w:rsidP="00FA00B4">
      <w:pPr>
        <w:spacing w:after="0" w:line="360" w:lineRule="auto"/>
        <w:ind w:firstLine="709"/>
        <w:jc w:val="both"/>
        <w:rPr>
          <w:rFonts w:ascii="Times New Roman" w:hAnsi="Times New Roman" w:cs="Times New Roman"/>
          <w:sz w:val="28"/>
          <w:szCs w:val="28"/>
        </w:rPr>
      </w:pPr>
      <w:r w:rsidRPr="00FA00B4">
        <w:rPr>
          <w:rFonts w:ascii="Times New Roman" w:hAnsi="Times New Roman" w:cs="Times New Roman"/>
          <w:sz w:val="28"/>
          <w:szCs w:val="28"/>
        </w:rPr>
        <w:t>Объем продукции сельского хозяйства в хозяйствах всех категорий республики в отчетном периоде в действующих ценах составил 13</w:t>
      </w:r>
      <w:r w:rsidR="00D150A9">
        <w:rPr>
          <w:rFonts w:ascii="Times New Roman" w:hAnsi="Times New Roman" w:cs="Times New Roman"/>
          <w:sz w:val="28"/>
          <w:szCs w:val="28"/>
        </w:rPr>
        <w:t xml:space="preserve"> </w:t>
      </w:r>
      <w:r w:rsidRPr="00FA00B4">
        <w:rPr>
          <w:rFonts w:ascii="Times New Roman" w:hAnsi="Times New Roman" w:cs="Times New Roman"/>
          <w:sz w:val="28"/>
          <w:szCs w:val="28"/>
        </w:rPr>
        <w:t xml:space="preserve">716,0 млн. рублей или 106,3% к 2011 году. </w:t>
      </w:r>
    </w:p>
    <w:p w:rsidR="00FA00B4" w:rsidRPr="00FA00B4" w:rsidRDefault="00FA00B4" w:rsidP="00FA00B4">
      <w:pPr>
        <w:spacing w:after="0" w:line="360" w:lineRule="auto"/>
        <w:ind w:firstLine="709"/>
        <w:jc w:val="both"/>
        <w:rPr>
          <w:rFonts w:ascii="Times New Roman" w:hAnsi="Times New Roman" w:cs="Times New Roman"/>
          <w:sz w:val="28"/>
          <w:szCs w:val="28"/>
        </w:rPr>
      </w:pPr>
      <w:r w:rsidRPr="00FA00B4">
        <w:rPr>
          <w:rFonts w:ascii="Times New Roman" w:hAnsi="Times New Roman" w:cs="Times New Roman"/>
          <w:sz w:val="28"/>
          <w:szCs w:val="28"/>
        </w:rPr>
        <w:lastRenderedPageBreak/>
        <w:t>Учитывая, что основой будущего урожая являются семена высоких посевных кондиций, в республике реализуется РЦП «Восстановление и развитие семеноводства зерновых культур в ЧР на 2009-2012 гг.».</w:t>
      </w:r>
    </w:p>
    <w:p w:rsidR="00FA00B4" w:rsidRPr="00FA00B4" w:rsidRDefault="00FA00B4" w:rsidP="00FA00B4">
      <w:pPr>
        <w:spacing w:after="0" w:line="360" w:lineRule="auto"/>
        <w:ind w:firstLine="709"/>
        <w:jc w:val="both"/>
        <w:rPr>
          <w:rFonts w:ascii="Times New Roman" w:hAnsi="Times New Roman" w:cs="Times New Roman"/>
          <w:sz w:val="28"/>
          <w:szCs w:val="28"/>
        </w:rPr>
      </w:pPr>
      <w:r w:rsidRPr="00FA00B4">
        <w:rPr>
          <w:rFonts w:ascii="Times New Roman" w:hAnsi="Times New Roman" w:cs="Times New Roman"/>
          <w:sz w:val="28"/>
          <w:szCs w:val="28"/>
        </w:rPr>
        <w:t>В рамках этой программы, в форме частного товарного кредита  закуплены оригинальные семена озимой пшеницы высокоурожайных сортов в количестве 220 т</w:t>
      </w:r>
      <w:r w:rsidR="00D150A9">
        <w:rPr>
          <w:rFonts w:ascii="Times New Roman" w:hAnsi="Times New Roman" w:cs="Times New Roman"/>
          <w:sz w:val="28"/>
          <w:szCs w:val="28"/>
        </w:rPr>
        <w:t>онн</w:t>
      </w:r>
      <w:r w:rsidRPr="00FA00B4">
        <w:rPr>
          <w:rFonts w:ascii="Times New Roman" w:hAnsi="Times New Roman" w:cs="Times New Roman"/>
          <w:sz w:val="28"/>
          <w:szCs w:val="28"/>
        </w:rPr>
        <w:t xml:space="preserve"> для воспроизводства </w:t>
      </w:r>
      <w:proofErr w:type="spellStart"/>
      <w:r w:rsidRPr="00FA00B4">
        <w:rPr>
          <w:rFonts w:ascii="Times New Roman" w:hAnsi="Times New Roman" w:cs="Times New Roman"/>
          <w:sz w:val="28"/>
          <w:szCs w:val="28"/>
        </w:rPr>
        <w:t>высокорепродуктивных</w:t>
      </w:r>
      <w:proofErr w:type="spellEnd"/>
      <w:r w:rsidRPr="00FA00B4">
        <w:rPr>
          <w:rFonts w:ascii="Times New Roman" w:hAnsi="Times New Roman" w:cs="Times New Roman"/>
          <w:sz w:val="28"/>
          <w:szCs w:val="28"/>
        </w:rPr>
        <w:t xml:space="preserve"> сортов в 8 специализированных хозяйствах республики.</w:t>
      </w:r>
    </w:p>
    <w:p w:rsidR="00FA00B4" w:rsidRDefault="00FA00B4" w:rsidP="00FA00B4">
      <w:pPr>
        <w:spacing w:after="0" w:line="360" w:lineRule="auto"/>
        <w:ind w:firstLine="709"/>
        <w:jc w:val="both"/>
        <w:rPr>
          <w:rFonts w:ascii="Times New Roman" w:hAnsi="Times New Roman" w:cs="Times New Roman"/>
          <w:sz w:val="28"/>
          <w:szCs w:val="28"/>
        </w:rPr>
      </w:pPr>
      <w:r w:rsidRPr="00FA00B4">
        <w:rPr>
          <w:rFonts w:ascii="Times New Roman" w:hAnsi="Times New Roman" w:cs="Times New Roman"/>
          <w:sz w:val="28"/>
          <w:szCs w:val="28"/>
        </w:rPr>
        <w:t>В течение 3 лет реализации этой программы аграрии республики смогут обеспечить производство семян для посева на площади 180 тыс. га, что значительно перекроет внутреннюю потребность семян.</w:t>
      </w:r>
    </w:p>
    <w:p w:rsidR="00CF7CCA" w:rsidRDefault="00CF7CCA" w:rsidP="00FA00B4">
      <w:pPr>
        <w:spacing w:after="0" w:line="360" w:lineRule="auto"/>
        <w:ind w:firstLine="709"/>
        <w:jc w:val="both"/>
        <w:rPr>
          <w:rFonts w:ascii="Times New Roman" w:hAnsi="Times New Roman" w:cs="Times New Roman"/>
          <w:sz w:val="28"/>
          <w:szCs w:val="28"/>
        </w:rPr>
      </w:pPr>
      <w:r w:rsidRPr="00CF7CCA">
        <w:rPr>
          <w:rFonts w:ascii="Times New Roman" w:hAnsi="Times New Roman" w:cs="Times New Roman"/>
          <w:sz w:val="28"/>
          <w:szCs w:val="28"/>
        </w:rPr>
        <w:t>В  отчетном периоде в хозяйствах всех категорий произведено скота и птицы на убой (в живом весе)  43,5 тыс. тонн, молока – 261,2 тыс. тонн, яиц – 73,0 млн. штук. По сравнению с прошлым годом производство скота и птицы на убой (в живом весе) возросло на 2,2%, производство молока снизилось на 0,6% , яиц - на 9,4%.</w:t>
      </w:r>
    </w:p>
    <w:p w:rsidR="00FA00B4" w:rsidRDefault="00FA00B4" w:rsidP="00FA00B4">
      <w:pPr>
        <w:spacing w:after="0" w:line="360" w:lineRule="auto"/>
        <w:ind w:firstLine="709"/>
        <w:jc w:val="both"/>
        <w:rPr>
          <w:rFonts w:ascii="Times New Roman" w:hAnsi="Times New Roman" w:cs="Times New Roman"/>
          <w:sz w:val="28"/>
          <w:szCs w:val="28"/>
        </w:rPr>
      </w:pPr>
      <w:r w:rsidRPr="00FA00B4">
        <w:rPr>
          <w:rFonts w:ascii="Times New Roman" w:hAnsi="Times New Roman" w:cs="Times New Roman"/>
          <w:sz w:val="28"/>
          <w:szCs w:val="28"/>
        </w:rPr>
        <w:t>Объем производства хлеба в 2012 году увеличился по сравнению с уровнем предыдущего года в 3,9 раза и составил 9</w:t>
      </w:r>
      <w:r>
        <w:rPr>
          <w:rFonts w:ascii="Times New Roman" w:hAnsi="Times New Roman" w:cs="Times New Roman"/>
          <w:sz w:val="28"/>
          <w:szCs w:val="28"/>
        </w:rPr>
        <w:t xml:space="preserve"> </w:t>
      </w:r>
      <w:r w:rsidRPr="00FA00B4">
        <w:rPr>
          <w:rFonts w:ascii="Times New Roman" w:hAnsi="Times New Roman" w:cs="Times New Roman"/>
          <w:sz w:val="28"/>
          <w:szCs w:val="28"/>
        </w:rPr>
        <w:t>149 тонн, что связано с началом деятельности нового предприятия, занимающегося производством хлеба</w:t>
      </w:r>
      <w:r>
        <w:rPr>
          <w:rFonts w:ascii="Times New Roman" w:hAnsi="Times New Roman" w:cs="Times New Roman"/>
          <w:sz w:val="28"/>
          <w:szCs w:val="28"/>
        </w:rPr>
        <w:t>,</w:t>
      </w:r>
      <w:r w:rsidRPr="00FA00B4">
        <w:rPr>
          <w:rFonts w:ascii="Times New Roman" w:hAnsi="Times New Roman" w:cs="Times New Roman"/>
          <w:sz w:val="28"/>
          <w:szCs w:val="28"/>
        </w:rPr>
        <w:t xml:space="preserve"> кондитерских изделий</w:t>
      </w:r>
      <w:r>
        <w:rPr>
          <w:rFonts w:ascii="Times New Roman" w:hAnsi="Times New Roman" w:cs="Times New Roman"/>
          <w:sz w:val="28"/>
          <w:szCs w:val="28"/>
        </w:rPr>
        <w:t xml:space="preserve"> и</w:t>
      </w:r>
      <w:r w:rsidRPr="00FA00B4">
        <w:rPr>
          <w:rFonts w:ascii="Times New Roman" w:hAnsi="Times New Roman" w:cs="Times New Roman"/>
          <w:sz w:val="28"/>
          <w:szCs w:val="28"/>
        </w:rPr>
        <w:t xml:space="preserve"> </w:t>
      </w:r>
      <w:r w:rsidR="00D150A9" w:rsidRPr="00FA00B4">
        <w:rPr>
          <w:rFonts w:ascii="Times New Roman" w:hAnsi="Times New Roman" w:cs="Times New Roman"/>
          <w:sz w:val="28"/>
          <w:szCs w:val="28"/>
        </w:rPr>
        <w:t xml:space="preserve">минеральной </w:t>
      </w:r>
      <w:r w:rsidRPr="00FA00B4">
        <w:rPr>
          <w:rFonts w:ascii="Times New Roman" w:hAnsi="Times New Roman" w:cs="Times New Roman"/>
          <w:sz w:val="28"/>
          <w:szCs w:val="28"/>
        </w:rPr>
        <w:t>воды.</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Правительством Чеченской Республики в рамках Программы поддержки и развития малого и среднего предпринимательства в Чеченской Республике на 2011-2013 годы в республиканском бюджет</w:t>
      </w:r>
      <w:r>
        <w:rPr>
          <w:rFonts w:ascii="Times New Roman" w:hAnsi="Times New Roman" w:cs="Times New Roman"/>
          <w:sz w:val="28"/>
          <w:szCs w:val="28"/>
        </w:rPr>
        <w:t xml:space="preserve">е предусмотрено 480,0 млн. рублей. </w:t>
      </w:r>
      <w:r w:rsidRPr="00C767F0">
        <w:rPr>
          <w:rFonts w:ascii="Times New Roman" w:hAnsi="Times New Roman" w:cs="Times New Roman"/>
          <w:sz w:val="28"/>
          <w:szCs w:val="28"/>
        </w:rPr>
        <w:t xml:space="preserve">По состоянию на 01.01.2013г. на учете в </w:t>
      </w:r>
      <w:proofErr w:type="spellStart"/>
      <w:r w:rsidRPr="00C767F0">
        <w:rPr>
          <w:rFonts w:ascii="Times New Roman" w:hAnsi="Times New Roman" w:cs="Times New Roman"/>
          <w:sz w:val="28"/>
          <w:szCs w:val="28"/>
        </w:rPr>
        <w:t>Статрегистре</w:t>
      </w:r>
      <w:proofErr w:type="spellEnd"/>
      <w:r w:rsidRPr="00C767F0">
        <w:rPr>
          <w:rFonts w:ascii="Times New Roman" w:hAnsi="Times New Roman" w:cs="Times New Roman"/>
          <w:sz w:val="28"/>
          <w:szCs w:val="28"/>
        </w:rPr>
        <w:t xml:space="preserve"> состоит 6</w:t>
      </w:r>
      <w:r>
        <w:rPr>
          <w:rFonts w:ascii="Times New Roman" w:hAnsi="Times New Roman" w:cs="Times New Roman"/>
          <w:sz w:val="28"/>
          <w:szCs w:val="28"/>
        </w:rPr>
        <w:t xml:space="preserve"> </w:t>
      </w:r>
      <w:r w:rsidRPr="00C767F0">
        <w:rPr>
          <w:rFonts w:ascii="Times New Roman" w:hAnsi="Times New Roman" w:cs="Times New Roman"/>
          <w:sz w:val="28"/>
          <w:szCs w:val="28"/>
        </w:rPr>
        <w:t>713 малых предприятий и 39</w:t>
      </w:r>
      <w:r>
        <w:rPr>
          <w:rFonts w:ascii="Times New Roman" w:hAnsi="Times New Roman" w:cs="Times New Roman"/>
          <w:sz w:val="28"/>
          <w:szCs w:val="28"/>
        </w:rPr>
        <w:t xml:space="preserve"> </w:t>
      </w:r>
      <w:r w:rsidRPr="00C767F0">
        <w:rPr>
          <w:rFonts w:ascii="Times New Roman" w:hAnsi="Times New Roman" w:cs="Times New Roman"/>
          <w:sz w:val="28"/>
          <w:szCs w:val="28"/>
        </w:rPr>
        <w:t xml:space="preserve">118 индивидуальных предпринимателей. </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xml:space="preserve">По итогам участия в конкурсе Минэкономразвития России по отбору субъектов Российской Федерации, бюджетам которых предоставляются субсидии для финансирования мероприятий, осуществляемых в рамках оказания государственной поддержки малого предпринимательства субъектами РФ, в 2012 году на реализацию мероприятий по поддержке  </w:t>
      </w:r>
      <w:r w:rsidRPr="00C767F0">
        <w:rPr>
          <w:rFonts w:ascii="Times New Roman" w:hAnsi="Times New Roman" w:cs="Times New Roman"/>
          <w:sz w:val="28"/>
          <w:szCs w:val="28"/>
        </w:rPr>
        <w:lastRenderedPageBreak/>
        <w:t>предпринимателей Чеченской Республики из федерального  бюджета  привлечено дополнительно 354,</w:t>
      </w:r>
      <w:r w:rsidR="00D150A9">
        <w:rPr>
          <w:rFonts w:ascii="Times New Roman" w:hAnsi="Times New Roman" w:cs="Times New Roman"/>
          <w:sz w:val="28"/>
          <w:szCs w:val="28"/>
        </w:rPr>
        <w:t>8</w:t>
      </w:r>
      <w:r w:rsidRPr="00C767F0">
        <w:rPr>
          <w:rFonts w:ascii="Times New Roman" w:hAnsi="Times New Roman" w:cs="Times New Roman"/>
          <w:sz w:val="28"/>
          <w:szCs w:val="28"/>
        </w:rPr>
        <w:t xml:space="preserve"> млн. руб.</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В 2012 году осуществлено финансирование в рамках Программы (160,0 млн. руб. - из республиканского бюджета и 354,77 млн.</w:t>
      </w:r>
      <w:r>
        <w:rPr>
          <w:rFonts w:ascii="Times New Roman" w:hAnsi="Times New Roman" w:cs="Times New Roman"/>
          <w:sz w:val="28"/>
          <w:szCs w:val="28"/>
        </w:rPr>
        <w:t xml:space="preserve"> </w:t>
      </w:r>
      <w:r w:rsidRPr="00C767F0">
        <w:rPr>
          <w:rFonts w:ascii="Times New Roman" w:hAnsi="Times New Roman" w:cs="Times New Roman"/>
          <w:sz w:val="28"/>
          <w:szCs w:val="28"/>
        </w:rPr>
        <w:t>руб</w:t>
      </w:r>
      <w:r>
        <w:rPr>
          <w:rFonts w:ascii="Times New Roman" w:hAnsi="Times New Roman" w:cs="Times New Roman"/>
          <w:sz w:val="28"/>
          <w:szCs w:val="28"/>
        </w:rPr>
        <w:t>лей</w:t>
      </w:r>
      <w:r w:rsidRPr="00C767F0">
        <w:rPr>
          <w:rFonts w:ascii="Times New Roman" w:hAnsi="Times New Roman" w:cs="Times New Roman"/>
          <w:sz w:val="28"/>
          <w:szCs w:val="28"/>
        </w:rPr>
        <w:t xml:space="preserve"> - из федерального бюджета) по следующим мероприятиям:</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финансовая поддержка МСП;</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научно–методическое и кадровое обеспечение МСП;</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содействие развитию малого и среднего предпринимательства на муниципальном уровне;</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xml:space="preserve">- информационное обслуживание МСП и поддержка </w:t>
      </w:r>
      <w:proofErr w:type="spellStart"/>
      <w:r w:rsidRPr="00C767F0">
        <w:rPr>
          <w:rFonts w:ascii="Times New Roman" w:hAnsi="Times New Roman" w:cs="Times New Roman"/>
          <w:sz w:val="28"/>
          <w:szCs w:val="28"/>
        </w:rPr>
        <w:t>выстовочно</w:t>
      </w:r>
      <w:proofErr w:type="spellEnd"/>
      <w:r w:rsidRPr="00C767F0">
        <w:rPr>
          <w:rFonts w:ascii="Times New Roman" w:hAnsi="Times New Roman" w:cs="Times New Roman"/>
          <w:sz w:val="28"/>
          <w:szCs w:val="28"/>
        </w:rPr>
        <w:t xml:space="preserve">–ярмарочной деятельности; </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предоставление гарантийным фондом поручительств субъектам МСП и организациям инфраструктуры поддержки субъектов МСП;</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создание инфраструктуры поддержки малого предпринимательства.</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xml:space="preserve">В рамках мероприятия «Финансовая поддержка субъектов малого и среднего предпринимательства» в 2012 году из средств консолидированного бюджета  профинансировано 560 </w:t>
      </w:r>
      <w:proofErr w:type="gramStart"/>
      <w:r w:rsidRPr="00C767F0">
        <w:rPr>
          <w:rFonts w:ascii="Times New Roman" w:hAnsi="Times New Roman" w:cs="Times New Roman"/>
          <w:sz w:val="28"/>
          <w:szCs w:val="28"/>
        </w:rPr>
        <w:t>бизнес-проектов</w:t>
      </w:r>
      <w:proofErr w:type="gramEnd"/>
      <w:r w:rsidRPr="00C767F0">
        <w:rPr>
          <w:rFonts w:ascii="Times New Roman" w:hAnsi="Times New Roman" w:cs="Times New Roman"/>
          <w:sz w:val="28"/>
          <w:szCs w:val="28"/>
        </w:rPr>
        <w:t xml:space="preserve"> </w:t>
      </w:r>
      <w:r>
        <w:rPr>
          <w:rFonts w:ascii="Times New Roman" w:hAnsi="Times New Roman" w:cs="Times New Roman"/>
          <w:sz w:val="28"/>
          <w:szCs w:val="28"/>
        </w:rPr>
        <w:t>на общую сумму 169,9 млн. рублей.</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Некоммерческой организацией «Гарантийный фонд Чеченской Республики» в 2012 году выдано 53 поручительства на сумму 63,</w:t>
      </w:r>
      <w:r w:rsidR="00D150A9">
        <w:rPr>
          <w:rFonts w:ascii="Times New Roman" w:hAnsi="Times New Roman" w:cs="Times New Roman"/>
          <w:sz w:val="28"/>
          <w:szCs w:val="28"/>
        </w:rPr>
        <w:t>3</w:t>
      </w:r>
      <w:r w:rsidRPr="00C767F0">
        <w:rPr>
          <w:rFonts w:ascii="Times New Roman" w:hAnsi="Times New Roman" w:cs="Times New Roman"/>
          <w:sz w:val="28"/>
          <w:szCs w:val="28"/>
        </w:rPr>
        <w:t xml:space="preserve"> млн. руб</w:t>
      </w:r>
      <w:r>
        <w:rPr>
          <w:rFonts w:ascii="Times New Roman" w:hAnsi="Times New Roman" w:cs="Times New Roman"/>
          <w:sz w:val="28"/>
          <w:szCs w:val="28"/>
        </w:rPr>
        <w:t>лей</w:t>
      </w:r>
      <w:r w:rsidRPr="00C767F0">
        <w:rPr>
          <w:rFonts w:ascii="Times New Roman" w:hAnsi="Times New Roman" w:cs="Times New Roman"/>
          <w:sz w:val="28"/>
          <w:szCs w:val="28"/>
        </w:rPr>
        <w:t xml:space="preserve"> для субъектов малого и среднего предпринимательства  Чеченской Республики на привлечение кредитных ср</w:t>
      </w:r>
      <w:r w:rsidR="00D150A9">
        <w:rPr>
          <w:rFonts w:ascii="Times New Roman" w:hAnsi="Times New Roman" w:cs="Times New Roman"/>
          <w:sz w:val="28"/>
          <w:szCs w:val="28"/>
        </w:rPr>
        <w:t>е</w:t>
      </w:r>
      <w:proofErr w:type="gramStart"/>
      <w:r w:rsidR="00D150A9">
        <w:rPr>
          <w:rFonts w:ascii="Times New Roman" w:hAnsi="Times New Roman" w:cs="Times New Roman"/>
          <w:sz w:val="28"/>
          <w:szCs w:val="28"/>
        </w:rPr>
        <w:t>дств в б</w:t>
      </w:r>
      <w:proofErr w:type="gramEnd"/>
      <w:r w:rsidR="00D150A9">
        <w:rPr>
          <w:rFonts w:ascii="Times New Roman" w:hAnsi="Times New Roman" w:cs="Times New Roman"/>
          <w:sz w:val="28"/>
          <w:szCs w:val="28"/>
        </w:rPr>
        <w:t>анковских учреждениях</w:t>
      </w:r>
      <w:r w:rsidRPr="00C767F0">
        <w:rPr>
          <w:rFonts w:ascii="Times New Roman" w:hAnsi="Times New Roman" w:cs="Times New Roman"/>
          <w:sz w:val="28"/>
          <w:szCs w:val="28"/>
        </w:rPr>
        <w:t xml:space="preserve">. </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Также, субъектам МСП Чеченской Республики оказывается поддержка   по мероприятию образовательной деятельности – обучение, повышение квалификации и переквалификации по курсам: основы персонального компьютера, бухгалтерское дело, 1С, делопроизводство, английский язык, арабский язык, пари</w:t>
      </w:r>
      <w:r w:rsidR="00D150A9">
        <w:rPr>
          <w:rFonts w:ascii="Times New Roman" w:hAnsi="Times New Roman" w:cs="Times New Roman"/>
          <w:sz w:val="28"/>
          <w:szCs w:val="28"/>
        </w:rPr>
        <w:t>кмахерское дело, фото-</w:t>
      </w:r>
      <w:proofErr w:type="spellStart"/>
      <w:r w:rsidR="00D150A9">
        <w:rPr>
          <w:rFonts w:ascii="Times New Roman" w:hAnsi="Times New Roman" w:cs="Times New Roman"/>
          <w:sz w:val="28"/>
          <w:szCs w:val="28"/>
        </w:rPr>
        <w:t>шоп</w:t>
      </w:r>
      <w:proofErr w:type="spellEnd"/>
      <w:r w:rsidR="00D150A9">
        <w:rPr>
          <w:rFonts w:ascii="Times New Roman" w:hAnsi="Times New Roman" w:cs="Times New Roman"/>
          <w:sz w:val="28"/>
          <w:szCs w:val="28"/>
        </w:rPr>
        <w:t xml:space="preserve">  и т.</w:t>
      </w:r>
      <w:r w:rsidRPr="00C767F0">
        <w:rPr>
          <w:rFonts w:ascii="Times New Roman" w:hAnsi="Times New Roman" w:cs="Times New Roman"/>
          <w:sz w:val="28"/>
          <w:szCs w:val="28"/>
        </w:rPr>
        <w:t>д. получили поддержку по данному мероприятию 7</w:t>
      </w:r>
      <w:r>
        <w:rPr>
          <w:rFonts w:ascii="Times New Roman" w:hAnsi="Times New Roman" w:cs="Times New Roman"/>
          <w:sz w:val="28"/>
          <w:szCs w:val="28"/>
        </w:rPr>
        <w:t xml:space="preserve"> </w:t>
      </w:r>
      <w:r w:rsidRPr="00C767F0">
        <w:rPr>
          <w:rFonts w:ascii="Times New Roman" w:hAnsi="Times New Roman" w:cs="Times New Roman"/>
          <w:sz w:val="28"/>
          <w:szCs w:val="28"/>
        </w:rPr>
        <w:t>231 чел. на общую сумму 60,0 млн. руб</w:t>
      </w:r>
      <w:r>
        <w:rPr>
          <w:rFonts w:ascii="Times New Roman" w:hAnsi="Times New Roman" w:cs="Times New Roman"/>
          <w:sz w:val="28"/>
          <w:szCs w:val="28"/>
        </w:rPr>
        <w:t>лей.</w:t>
      </w:r>
    </w:p>
    <w:p w:rsidR="00C767F0" w:rsidRP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xml:space="preserve"> В 2012 году по мероприятию «Содействие развитию малого и среднего предпринимательства на муниципальном уровне» из средств </w:t>
      </w:r>
      <w:r w:rsidRPr="00C767F0">
        <w:rPr>
          <w:rFonts w:ascii="Times New Roman" w:hAnsi="Times New Roman" w:cs="Times New Roman"/>
          <w:sz w:val="28"/>
          <w:szCs w:val="28"/>
        </w:rPr>
        <w:lastRenderedPageBreak/>
        <w:t xml:space="preserve">республиканского бюджета перечислено 4,0 млн. рублей, из федерального бюджета привлечено 16,0 млн. рублей в рамках муниципальной целевой программы «Развитие малого и среднего предпринимательства на территории г. Грозного на 2012 год». На муниципальном уровне за счет региональных и федеральных средств получили поддержку по мероприятию «Образовательная деятельность» - 150 субъектов МСП, сумма финансирования мероприятия – 0,43 млн. рублей. По мероприятию «Финансовая поддержка» профинансировано 67 </w:t>
      </w:r>
      <w:proofErr w:type="gramStart"/>
      <w:r w:rsidRPr="00C767F0">
        <w:rPr>
          <w:rFonts w:ascii="Times New Roman" w:hAnsi="Times New Roman" w:cs="Times New Roman"/>
          <w:sz w:val="28"/>
          <w:szCs w:val="28"/>
        </w:rPr>
        <w:t>бизнес-проектов</w:t>
      </w:r>
      <w:proofErr w:type="gramEnd"/>
      <w:r w:rsidRPr="00C767F0">
        <w:rPr>
          <w:rFonts w:ascii="Times New Roman" w:hAnsi="Times New Roman" w:cs="Times New Roman"/>
          <w:sz w:val="28"/>
          <w:szCs w:val="28"/>
        </w:rPr>
        <w:t xml:space="preserve"> на сумму  19,57 млн. рублей.</w:t>
      </w:r>
    </w:p>
    <w:p w:rsid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 xml:space="preserve">Поддержку по мероприятию «Информационное обслуживание МСП и поддержка </w:t>
      </w:r>
      <w:proofErr w:type="spellStart"/>
      <w:r w:rsidRPr="00C767F0">
        <w:rPr>
          <w:rFonts w:ascii="Times New Roman" w:hAnsi="Times New Roman" w:cs="Times New Roman"/>
          <w:sz w:val="28"/>
          <w:szCs w:val="28"/>
        </w:rPr>
        <w:t>выставочно</w:t>
      </w:r>
      <w:proofErr w:type="spellEnd"/>
      <w:r w:rsidRPr="00C767F0">
        <w:rPr>
          <w:rFonts w:ascii="Times New Roman" w:hAnsi="Times New Roman" w:cs="Times New Roman"/>
          <w:sz w:val="28"/>
          <w:szCs w:val="28"/>
        </w:rPr>
        <w:t>-ярмарочная деятельность» получили 2</w:t>
      </w:r>
      <w:r>
        <w:rPr>
          <w:rFonts w:ascii="Times New Roman" w:hAnsi="Times New Roman" w:cs="Times New Roman"/>
          <w:sz w:val="28"/>
          <w:szCs w:val="28"/>
        </w:rPr>
        <w:t xml:space="preserve"> </w:t>
      </w:r>
      <w:r w:rsidRPr="00C767F0">
        <w:rPr>
          <w:rFonts w:ascii="Times New Roman" w:hAnsi="Times New Roman" w:cs="Times New Roman"/>
          <w:sz w:val="28"/>
          <w:szCs w:val="28"/>
        </w:rPr>
        <w:t>426 субъектов МСП, сумма финансирования мероприятия - 6,5 млн. рублей.</w:t>
      </w:r>
      <w:r>
        <w:rPr>
          <w:rFonts w:ascii="Times New Roman" w:hAnsi="Times New Roman" w:cs="Times New Roman"/>
          <w:sz w:val="28"/>
          <w:szCs w:val="28"/>
        </w:rPr>
        <w:t xml:space="preserve"> </w:t>
      </w:r>
      <w:r w:rsidRPr="00C767F0">
        <w:rPr>
          <w:rFonts w:ascii="Times New Roman" w:hAnsi="Times New Roman" w:cs="Times New Roman"/>
          <w:sz w:val="28"/>
          <w:szCs w:val="28"/>
        </w:rPr>
        <w:t>Общее количество рабочих мест, созданных за счет реализации программных мероприятий в 2012 году, - 688 единиц.</w:t>
      </w:r>
    </w:p>
    <w:p w:rsidR="00C767F0" w:rsidRPr="00C767F0" w:rsidRDefault="00D150A9" w:rsidP="00C767F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прошедшем году п</w:t>
      </w:r>
      <w:r w:rsidR="00C767F0" w:rsidRPr="00C767F0">
        <w:rPr>
          <w:rFonts w:ascii="Times New Roman" w:hAnsi="Times New Roman" w:cs="Times New Roman"/>
          <w:sz w:val="28"/>
          <w:szCs w:val="28"/>
        </w:rPr>
        <w:t>ассажирооборот транспорта общего пользования составил 687,9 млн.</w:t>
      </w:r>
      <w:r w:rsidR="00C767F0">
        <w:rPr>
          <w:rFonts w:ascii="Times New Roman" w:hAnsi="Times New Roman" w:cs="Times New Roman"/>
          <w:sz w:val="28"/>
          <w:szCs w:val="28"/>
        </w:rPr>
        <w:t xml:space="preserve"> </w:t>
      </w:r>
      <w:r w:rsidR="00C767F0" w:rsidRPr="00C767F0">
        <w:rPr>
          <w:rFonts w:ascii="Times New Roman" w:hAnsi="Times New Roman" w:cs="Times New Roman"/>
          <w:sz w:val="28"/>
          <w:szCs w:val="28"/>
        </w:rPr>
        <w:t>пасс</w:t>
      </w:r>
      <w:proofErr w:type="gramStart"/>
      <w:r w:rsidR="00C767F0" w:rsidRPr="00C767F0">
        <w:rPr>
          <w:rFonts w:ascii="Times New Roman" w:hAnsi="Times New Roman" w:cs="Times New Roman"/>
          <w:sz w:val="28"/>
          <w:szCs w:val="28"/>
        </w:rPr>
        <w:t>.</w:t>
      </w:r>
      <w:proofErr w:type="gramEnd"/>
      <w:r w:rsidR="00C767F0" w:rsidRPr="00C767F0">
        <w:rPr>
          <w:rFonts w:ascii="Times New Roman" w:hAnsi="Times New Roman" w:cs="Times New Roman"/>
          <w:sz w:val="28"/>
          <w:szCs w:val="28"/>
        </w:rPr>
        <w:t xml:space="preserve"> </w:t>
      </w:r>
      <w:proofErr w:type="gramStart"/>
      <w:r w:rsidR="00C767F0" w:rsidRPr="00C767F0">
        <w:rPr>
          <w:rFonts w:ascii="Times New Roman" w:hAnsi="Times New Roman" w:cs="Times New Roman"/>
          <w:sz w:val="28"/>
          <w:szCs w:val="28"/>
        </w:rPr>
        <w:t>к</w:t>
      </w:r>
      <w:proofErr w:type="gramEnd"/>
      <w:r w:rsidR="00C767F0" w:rsidRPr="00C767F0">
        <w:rPr>
          <w:rFonts w:ascii="Times New Roman" w:hAnsi="Times New Roman" w:cs="Times New Roman"/>
          <w:sz w:val="28"/>
          <w:szCs w:val="28"/>
        </w:rPr>
        <w:t>илометров (или 111,5% к уровню 2011 года), в том числе железнодорожного – 52,4 млн.</w:t>
      </w:r>
      <w:r w:rsidR="00C767F0">
        <w:rPr>
          <w:rFonts w:ascii="Times New Roman" w:hAnsi="Times New Roman" w:cs="Times New Roman"/>
          <w:sz w:val="28"/>
          <w:szCs w:val="28"/>
        </w:rPr>
        <w:t xml:space="preserve"> </w:t>
      </w:r>
      <w:r w:rsidR="00C767F0" w:rsidRPr="00C767F0">
        <w:rPr>
          <w:rFonts w:ascii="Times New Roman" w:hAnsi="Times New Roman" w:cs="Times New Roman"/>
          <w:sz w:val="28"/>
          <w:szCs w:val="28"/>
        </w:rPr>
        <w:t>пасс. километров, (или 101,6%), автомобильного – 453,0 млн.</w:t>
      </w:r>
      <w:r w:rsidR="00C767F0">
        <w:rPr>
          <w:rFonts w:ascii="Times New Roman" w:hAnsi="Times New Roman" w:cs="Times New Roman"/>
          <w:sz w:val="28"/>
          <w:szCs w:val="28"/>
        </w:rPr>
        <w:t xml:space="preserve"> </w:t>
      </w:r>
      <w:r w:rsidR="00C767F0" w:rsidRPr="00C767F0">
        <w:rPr>
          <w:rFonts w:ascii="Times New Roman" w:hAnsi="Times New Roman" w:cs="Times New Roman"/>
          <w:sz w:val="28"/>
          <w:szCs w:val="28"/>
        </w:rPr>
        <w:t>пасс. километров (114,4%), воздушного - 182,5 млн. пасс.</w:t>
      </w:r>
      <w:r w:rsidR="00C767F0">
        <w:rPr>
          <w:rFonts w:ascii="Times New Roman" w:hAnsi="Times New Roman" w:cs="Times New Roman"/>
          <w:sz w:val="28"/>
          <w:szCs w:val="28"/>
        </w:rPr>
        <w:t xml:space="preserve"> </w:t>
      </w:r>
      <w:r w:rsidR="00C767F0" w:rsidRPr="00C767F0">
        <w:rPr>
          <w:rFonts w:ascii="Times New Roman" w:hAnsi="Times New Roman" w:cs="Times New Roman"/>
          <w:sz w:val="28"/>
          <w:szCs w:val="28"/>
        </w:rPr>
        <w:t xml:space="preserve">километров (107,7%). Доля автомобильного транспорта в общем объеме пассажирских перевозок транспортом общего пользования занимает 65,9%. Автомобильный транспорт является основным перевозчиком в республике. </w:t>
      </w:r>
    </w:p>
    <w:p w:rsidR="00C767F0" w:rsidRDefault="00C767F0" w:rsidP="00C767F0">
      <w:pPr>
        <w:spacing w:after="0" w:line="360" w:lineRule="auto"/>
        <w:ind w:firstLine="709"/>
        <w:jc w:val="both"/>
        <w:rPr>
          <w:rFonts w:ascii="Times New Roman" w:hAnsi="Times New Roman" w:cs="Times New Roman"/>
          <w:sz w:val="28"/>
          <w:szCs w:val="28"/>
        </w:rPr>
      </w:pPr>
      <w:r w:rsidRPr="00C767F0">
        <w:rPr>
          <w:rFonts w:ascii="Times New Roman" w:hAnsi="Times New Roman" w:cs="Times New Roman"/>
          <w:sz w:val="28"/>
          <w:szCs w:val="28"/>
        </w:rPr>
        <w:t>С начала отчетного периода предприятиями связи оказано услуг на 6</w:t>
      </w:r>
      <w:r>
        <w:rPr>
          <w:rFonts w:ascii="Times New Roman" w:hAnsi="Times New Roman" w:cs="Times New Roman"/>
          <w:sz w:val="28"/>
          <w:szCs w:val="28"/>
        </w:rPr>
        <w:t> </w:t>
      </w:r>
      <w:r w:rsidRPr="00C767F0">
        <w:rPr>
          <w:rFonts w:ascii="Times New Roman" w:hAnsi="Times New Roman" w:cs="Times New Roman"/>
          <w:sz w:val="28"/>
          <w:szCs w:val="28"/>
        </w:rPr>
        <w:t>091,3 млн. рублей,  (на 8,8%  меньше к уровню 2011 года).</w:t>
      </w:r>
    </w:p>
    <w:p w:rsidR="00DA360C" w:rsidRDefault="009C1D54" w:rsidP="009C1D54">
      <w:pPr>
        <w:spacing w:after="0" w:line="360" w:lineRule="auto"/>
        <w:ind w:firstLine="709"/>
        <w:jc w:val="both"/>
        <w:rPr>
          <w:rFonts w:ascii="Times New Roman" w:hAnsi="Times New Roman" w:cs="Times New Roman"/>
          <w:sz w:val="28"/>
          <w:szCs w:val="28"/>
        </w:rPr>
      </w:pPr>
      <w:r w:rsidRPr="009C1D54">
        <w:rPr>
          <w:rFonts w:ascii="Times New Roman" w:hAnsi="Times New Roman" w:cs="Times New Roman"/>
          <w:sz w:val="28"/>
          <w:szCs w:val="28"/>
        </w:rPr>
        <w:t xml:space="preserve">Уровень регистрируемой безработицы </w:t>
      </w:r>
      <w:r w:rsidR="00DA360C">
        <w:rPr>
          <w:rFonts w:ascii="Times New Roman" w:hAnsi="Times New Roman" w:cs="Times New Roman"/>
          <w:sz w:val="28"/>
          <w:szCs w:val="28"/>
        </w:rPr>
        <w:t xml:space="preserve">в прошедшем году </w:t>
      </w:r>
      <w:r w:rsidRPr="009C1D54">
        <w:rPr>
          <w:rFonts w:ascii="Times New Roman" w:hAnsi="Times New Roman" w:cs="Times New Roman"/>
          <w:sz w:val="28"/>
          <w:szCs w:val="28"/>
        </w:rPr>
        <w:t xml:space="preserve">по данным </w:t>
      </w:r>
      <w:proofErr w:type="spellStart"/>
      <w:r w:rsidRPr="009C1D54">
        <w:rPr>
          <w:rFonts w:ascii="Times New Roman" w:hAnsi="Times New Roman" w:cs="Times New Roman"/>
          <w:sz w:val="28"/>
          <w:szCs w:val="28"/>
        </w:rPr>
        <w:t>Чеченстата</w:t>
      </w:r>
      <w:proofErr w:type="spellEnd"/>
      <w:r w:rsidRPr="009C1D54">
        <w:rPr>
          <w:rFonts w:ascii="Times New Roman" w:hAnsi="Times New Roman" w:cs="Times New Roman"/>
          <w:sz w:val="28"/>
          <w:szCs w:val="28"/>
        </w:rPr>
        <w:t xml:space="preserve"> составил 30,4%, что на 2,3% меньше чем в 2011 году</w:t>
      </w:r>
      <w:r w:rsidR="00DA360C">
        <w:rPr>
          <w:rFonts w:ascii="Times New Roman" w:hAnsi="Times New Roman" w:cs="Times New Roman"/>
          <w:sz w:val="28"/>
          <w:szCs w:val="28"/>
        </w:rPr>
        <w:t>. Ч</w:t>
      </w:r>
      <w:r w:rsidR="00DA360C" w:rsidRPr="00DA360C">
        <w:rPr>
          <w:rFonts w:ascii="Times New Roman" w:hAnsi="Times New Roman" w:cs="Times New Roman"/>
          <w:sz w:val="28"/>
          <w:szCs w:val="28"/>
        </w:rPr>
        <w:t>исленность безработных (имеющих статус безработного), зарегистрированных в службе занятости населения республики, составила 166,3 тыс. человек или 93,7% к уровню 2011 года (в 2011 году 177,5 тыс.</w:t>
      </w:r>
      <w:r w:rsidR="00DA360C">
        <w:rPr>
          <w:rFonts w:ascii="Times New Roman" w:hAnsi="Times New Roman" w:cs="Times New Roman"/>
          <w:sz w:val="28"/>
          <w:szCs w:val="28"/>
        </w:rPr>
        <w:t xml:space="preserve"> </w:t>
      </w:r>
      <w:r w:rsidR="00DA360C" w:rsidRPr="00DA360C">
        <w:rPr>
          <w:rFonts w:ascii="Times New Roman" w:hAnsi="Times New Roman" w:cs="Times New Roman"/>
          <w:sz w:val="28"/>
          <w:szCs w:val="28"/>
        </w:rPr>
        <w:t>человек)</w:t>
      </w:r>
      <w:r w:rsidR="00DA360C">
        <w:rPr>
          <w:rFonts w:ascii="Times New Roman" w:hAnsi="Times New Roman" w:cs="Times New Roman"/>
          <w:sz w:val="28"/>
          <w:szCs w:val="28"/>
        </w:rPr>
        <w:t xml:space="preserve">. </w:t>
      </w:r>
    </w:p>
    <w:p w:rsidR="00DA360C" w:rsidRDefault="00DA360C" w:rsidP="009C1D54">
      <w:pPr>
        <w:spacing w:after="0" w:line="360" w:lineRule="auto"/>
        <w:ind w:firstLine="709"/>
        <w:jc w:val="both"/>
        <w:rPr>
          <w:rFonts w:ascii="Times New Roman" w:hAnsi="Times New Roman" w:cs="Times New Roman"/>
          <w:sz w:val="28"/>
          <w:szCs w:val="28"/>
        </w:rPr>
      </w:pPr>
      <w:r w:rsidRPr="00DA360C">
        <w:rPr>
          <w:rFonts w:ascii="Times New Roman" w:hAnsi="Times New Roman" w:cs="Times New Roman"/>
          <w:sz w:val="28"/>
          <w:szCs w:val="28"/>
        </w:rPr>
        <w:lastRenderedPageBreak/>
        <w:t>Величина прожиточного минимума на душу населения на конец отчетного периода составила 6</w:t>
      </w:r>
      <w:r>
        <w:rPr>
          <w:rFonts w:ascii="Times New Roman" w:hAnsi="Times New Roman" w:cs="Times New Roman"/>
          <w:sz w:val="28"/>
          <w:szCs w:val="28"/>
        </w:rPr>
        <w:t> 816 рублей</w:t>
      </w:r>
      <w:r w:rsidRPr="00DA360C">
        <w:rPr>
          <w:rFonts w:ascii="Times New Roman" w:hAnsi="Times New Roman" w:cs="Times New Roman"/>
          <w:sz w:val="28"/>
          <w:szCs w:val="28"/>
        </w:rPr>
        <w:t xml:space="preserve"> в месяц, или 104,8% к уровню 2011 года.</w:t>
      </w:r>
    </w:p>
    <w:p w:rsidR="009C1D54" w:rsidRPr="009C1D54" w:rsidRDefault="009C1D54" w:rsidP="009C1D54">
      <w:pPr>
        <w:spacing w:after="0" w:line="360" w:lineRule="auto"/>
        <w:ind w:firstLine="709"/>
        <w:jc w:val="both"/>
        <w:rPr>
          <w:rFonts w:ascii="Times New Roman" w:hAnsi="Times New Roman" w:cs="Times New Roman"/>
          <w:sz w:val="28"/>
          <w:szCs w:val="28"/>
        </w:rPr>
      </w:pPr>
      <w:r w:rsidRPr="009C1D54">
        <w:rPr>
          <w:rFonts w:ascii="Times New Roman" w:hAnsi="Times New Roman" w:cs="Times New Roman"/>
          <w:sz w:val="28"/>
          <w:szCs w:val="28"/>
        </w:rPr>
        <w:t xml:space="preserve">Среднемесячная номинальная заработная плата одного работника за отчетный период 2012 года составила 18 </w:t>
      </w:r>
      <w:r w:rsidR="00565DA9">
        <w:rPr>
          <w:rFonts w:ascii="Times New Roman" w:hAnsi="Times New Roman" w:cs="Times New Roman"/>
          <w:sz w:val="28"/>
          <w:szCs w:val="28"/>
        </w:rPr>
        <w:t>728</w:t>
      </w:r>
      <w:r w:rsidRPr="009C1D54">
        <w:rPr>
          <w:rFonts w:ascii="Times New Roman" w:hAnsi="Times New Roman" w:cs="Times New Roman"/>
          <w:sz w:val="28"/>
          <w:szCs w:val="28"/>
        </w:rPr>
        <w:t xml:space="preserve"> рублей. Номинальный рост к 2011 году равен 26,8%, а реальный соответственно 20,4%. Это способствовало росту оборота розничной торговли в 2012 году, который составил 92 млрд. 705,3 млн. рублей или 120,4% к уровню 2011 года. </w:t>
      </w:r>
    </w:p>
    <w:p w:rsidR="00CA02E4" w:rsidRDefault="009C1D54" w:rsidP="000D6B0B">
      <w:pPr>
        <w:spacing w:after="0" w:line="360" w:lineRule="auto"/>
        <w:ind w:firstLine="709"/>
        <w:jc w:val="both"/>
        <w:rPr>
          <w:rFonts w:ascii="Times New Roman" w:hAnsi="Times New Roman" w:cs="Times New Roman"/>
          <w:sz w:val="28"/>
          <w:szCs w:val="28"/>
        </w:rPr>
      </w:pPr>
      <w:r w:rsidRPr="009C1D54">
        <w:rPr>
          <w:rFonts w:ascii="Times New Roman" w:hAnsi="Times New Roman" w:cs="Times New Roman"/>
          <w:sz w:val="28"/>
          <w:szCs w:val="28"/>
        </w:rPr>
        <w:t>Приведенные показатели развития экономики республики свидетельствуют о сохранении положительного тренда, однако снижение отдельных показателей свидетельствует о необходимости корректировки некоторы</w:t>
      </w:r>
      <w:r w:rsidR="00D150A9">
        <w:rPr>
          <w:rFonts w:ascii="Times New Roman" w:hAnsi="Times New Roman" w:cs="Times New Roman"/>
          <w:sz w:val="28"/>
          <w:szCs w:val="28"/>
        </w:rPr>
        <w:t>х инструментов ее регулирования</w:t>
      </w:r>
      <w:r w:rsidRPr="009C1D54">
        <w:rPr>
          <w:rFonts w:ascii="Times New Roman" w:hAnsi="Times New Roman" w:cs="Times New Roman"/>
          <w:sz w:val="28"/>
          <w:szCs w:val="28"/>
        </w:rPr>
        <w:t>.</w:t>
      </w:r>
    </w:p>
    <w:p w:rsidR="00CA02E4" w:rsidRDefault="00CA02E4">
      <w:pPr>
        <w:rPr>
          <w:rFonts w:ascii="Times New Roman" w:hAnsi="Times New Roman" w:cs="Times New Roman"/>
          <w:sz w:val="28"/>
          <w:szCs w:val="28"/>
        </w:rPr>
      </w:pPr>
      <w:r>
        <w:rPr>
          <w:rFonts w:ascii="Times New Roman" w:hAnsi="Times New Roman" w:cs="Times New Roman"/>
          <w:sz w:val="28"/>
          <w:szCs w:val="28"/>
        </w:rPr>
        <w:br w:type="page"/>
      </w:r>
    </w:p>
    <w:p w:rsidR="003249CE" w:rsidRPr="003249CE" w:rsidRDefault="00CA02E4" w:rsidP="003249CE">
      <w:pPr>
        <w:spacing w:after="0" w:line="360" w:lineRule="auto"/>
        <w:ind w:firstLine="709"/>
        <w:jc w:val="center"/>
        <w:rPr>
          <w:rFonts w:ascii="Times New Roman" w:hAnsi="Times New Roman" w:cs="Times New Roman"/>
          <w:b/>
          <w:sz w:val="28"/>
          <w:szCs w:val="28"/>
        </w:rPr>
      </w:pPr>
      <w:r w:rsidRPr="003249CE">
        <w:rPr>
          <w:rFonts w:ascii="Times New Roman" w:hAnsi="Times New Roman" w:cs="Times New Roman"/>
          <w:b/>
          <w:sz w:val="28"/>
          <w:szCs w:val="28"/>
        </w:rPr>
        <w:lastRenderedPageBreak/>
        <w:t>Бюджетный процесс Чеченской Республики</w:t>
      </w:r>
    </w:p>
    <w:p w:rsidR="003249CE" w:rsidRDefault="003249CE" w:rsidP="003249CE">
      <w:pPr>
        <w:spacing w:after="0" w:line="360" w:lineRule="auto"/>
        <w:ind w:firstLine="709"/>
        <w:jc w:val="both"/>
        <w:rPr>
          <w:rFonts w:ascii="Times New Roman" w:hAnsi="Times New Roman" w:cs="Times New Roman"/>
          <w:sz w:val="28"/>
          <w:szCs w:val="28"/>
        </w:rPr>
      </w:pPr>
    </w:p>
    <w:p w:rsidR="003249CE" w:rsidRDefault="003249CE" w:rsidP="004714D0">
      <w:pPr>
        <w:spacing w:after="0" w:line="360" w:lineRule="auto"/>
        <w:ind w:firstLine="709"/>
        <w:jc w:val="both"/>
        <w:rPr>
          <w:rFonts w:ascii="Times New Roman" w:hAnsi="Times New Roman" w:cs="Times New Roman"/>
          <w:sz w:val="28"/>
          <w:szCs w:val="28"/>
        </w:rPr>
      </w:pPr>
      <w:r>
        <w:rPr>
          <w:rFonts w:ascii="Times New Roman" w:hAnsi="Times New Roman"/>
          <w:sz w:val="28"/>
          <w:szCs w:val="28"/>
        </w:rPr>
        <w:t>Бюджетный процесс в отчетном году осуществлялся в строгом соответствии с нормами бюджетного законодательства, а также дополнительными ограничениями для высокодотационных субъектов России, вытекающими из статей 130 и 136 Бюджетного кодекса Российской Федерации.</w:t>
      </w:r>
    </w:p>
    <w:p w:rsidR="003249CE" w:rsidRPr="003249CE" w:rsidRDefault="003249CE" w:rsidP="004714D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В состав консолидированного бюджета Чеченской Республики в 2012 году входили: 1 – республиканский бюджет, 15 – бюджетов муниципальных районов, 2 – бюджета городских округов, 220 – поселенческих бюджетов. Итого 238 обособленных бюджетов (без учета бюджетов государственных внебюджетных фондов).</w:t>
      </w:r>
    </w:p>
    <w:p w:rsidR="003249CE" w:rsidRDefault="003249CE" w:rsidP="004714D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Правовым основанием расходования бюджетных средств в 2012 финансовом году был Закон Чеченской Республики от 30 ноября 2011 года    № 42-РЗ «О республиканском бюджете на 2012 год и на плановый период 2013 и 2014 годов», а также 237 решений о бюджетах муниципальных образований.</w:t>
      </w:r>
    </w:p>
    <w:p w:rsidR="003249CE" w:rsidRDefault="003249CE" w:rsidP="004714D0">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Бюджетный цикл Чеченской Республики за прошедший год сложился следующим образом.</w:t>
      </w:r>
    </w:p>
    <w:p w:rsidR="004714D0" w:rsidRDefault="004714D0" w:rsidP="004714D0">
      <w:pPr>
        <w:spacing w:after="0" w:line="360" w:lineRule="auto"/>
        <w:jc w:val="center"/>
        <w:rPr>
          <w:rFonts w:ascii="Times New Roman" w:hAnsi="Times New Roman" w:cs="Times New Roman"/>
          <w:b/>
          <w:sz w:val="28"/>
          <w:szCs w:val="28"/>
        </w:rPr>
      </w:pPr>
    </w:p>
    <w:p w:rsidR="003249CE" w:rsidRDefault="003249CE" w:rsidP="003249CE">
      <w:pPr>
        <w:jc w:val="center"/>
        <w:rPr>
          <w:rFonts w:ascii="Times New Roman" w:hAnsi="Times New Roman" w:cs="Times New Roman"/>
          <w:b/>
          <w:sz w:val="28"/>
          <w:szCs w:val="28"/>
        </w:rPr>
      </w:pPr>
      <w:r w:rsidRPr="00D26789">
        <w:rPr>
          <w:rFonts w:ascii="Times New Roman" w:hAnsi="Times New Roman" w:cs="Times New Roman"/>
          <w:b/>
          <w:sz w:val="28"/>
          <w:szCs w:val="28"/>
        </w:rPr>
        <w:t>БЮДЖЕТНЫЙ ЦИКЛ ЧЕЧЕНСКОЙ РЕСПУБЛИКИ ЗА 201</w:t>
      </w:r>
      <w:r>
        <w:rPr>
          <w:rFonts w:ascii="Times New Roman" w:hAnsi="Times New Roman" w:cs="Times New Roman"/>
          <w:b/>
          <w:sz w:val="28"/>
          <w:szCs w:val="28"/>
        </w:rPr>
        <w:t>2 ГОД</w:t>
      </w:r>
    </w:p>
    <w:p w:rsidR="004714D0" w:rsidRPr="00D26789" w:rsidRDefault="004714D0" w:rsidP="003249CE">
      <w:pPr>
        <w:jc w:val="center"/>
        <w:rPr>
          <w:rFonts w:ascii="Times New Roman" w:hAnsi="Times New Roman" w:cs="Times New Roman"/>
          <w:b/>
          <w:sz w:val="28"/>
          <w:szCs w:val="28"/>
        </w:rPr>
      </w:pPr>
    </w:p>
    <w:tbl>
      <w:tblPr>
        <w:tblW w:w="9356" w:type="dxa"/>
        <w:tblInd w:w="108" w:type="dxa"/>
        <w:tblLook w:val="01E0" w:firstRow="1" w:lastRow="1" w:firstColumn="1" w:lastColumn="1" w:noHBand="0" w:noVBand="0"/>
      </w:tblPr>
      <w:tblGrid>
        <w:gridCol w:w="2563"/>
        <w:gridCol w:w="6793"/>
      </w:tblGrid>
      <w:tr w:rsidR="003249CE" w:rsidRPr="001E36DF" w:rsidTr="009C1D54">
        <w:tc>
          <w:tcPr>
            <w:tcW w:w="2563" w:type="dxa"/>
          </w:tcPr>
          <w:p w:rsidR="003249CE" w:rsidRPr="001E36DF" w:rsidRDefault="003249CE" w:rsidP="006855DD">
            <w:pPr>
              <w:spacing w:after="0" w:line="240" w:lineRule="auto"/>
              <w:jc w:val="center"/>
              <w:rPr>
                <w:rFonts w:ascii="Times New Roman" w:hAnsi="Times New Roman" w:cs="Times New Roman"/>
                <w:b/>
                <w:i/>
                <w:sz w:val="26"/>
                <w:szCs w:val="26"/>
              </w:rPr>
            </w:pPr>
            <w:r w:rsidRPr="001E36DF">
              <w:rPr>
                <w:rFonts w:ascii="Times New Roman" w:hAnsi="Times New Roman" w:cs="Times New Roman"/>
                <w:b/>
                <w:i/>
                <w:sz w:val="26"/>
                <w:szCs w:val="26"/>
              </w:rPr>
              <w:t>Период</w:t>
            </w:r>
          </w:p>
        </w:tc>
        <w:tc>
          <w:tcPr>
            <w:tcW w:w="6793" w:type="dxa"/>
          </w:tcPr>
          <w:p w:rsidR="003249CE" w:rsidRPr="001E36DF" w:rsidRDefault="003249CE" w:rsidP="006855DD">
            <w:pPr>
              <w:spacing w:after="0" w:line="240" w:lineRule="auto"/>
              <w:jc w:val="center"/>
              <w:rPr>
                <w:rFonts w:ascii="Times New Roman" w:hAnsi="Times New Roman" w:cs="Times New Roman"/>
                <w:b/>
                <w:i/>
                <w:sz w:val="26"/>
                <w:szCs w:val="26"/>
              </w:rPr>
            </w:pPr>
            <w:r w:rsidRPr="001E36DF">
              <w:rPr>
                <w:rFonts w:ascii="Times New Roman" w:hAnsi="Times New Roman" w:cs="Times New Roman"/>
                <w:b/>
                <w:i/>
                <w:sz w:val="26"/>
                <w:szCs w:val="26"/>
              </w:rPr>
              <w:t>Мероприятия</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Апрель-июнь 2011 года</w:t>
            </w: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Сбор, обработка, и подготовка основных параметров консолидированного бюджета Чеченской Республики.</w:t>
            </w:r>
          </w:p>
        </w:tc>
      </w:tr>
      <w:tr w:rsidR="003249CE" w:rsidRPr="001E36DF" w:rsidTr="009C1D54">
        <w:tc>
          <w:tcPr>
            <w:tcW w:w="2563" w:type="dxa"/>
          </w:tcPr>
          <w:p w:rsidR="003249CE" w:rsidRDefault="003249CE" w:rsidP="006855DD">
            <w:pPr>
              <w:spacing w:after="0" w:line="240" w:lineRule="auto"/>
              <w:rPr>
                <w:rFonts w:ascii="Times New Roman" w:hAnsi="Times New Roman" w:cs="Times New Roman"/>
                <w:sz w:val="26"/>
                <w:szCs w:val="26"/>
              </w:rPr>
            </w:pPr>
          </w:p>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Июнь-сентябрь 2011 года</w:t>
            </w:r>
          </w:p>
        </w:tc>
        <w:tc>
          <w:tcPr>
            <w:tcW w:w="6793" w:type="dxa"/>
          </w:tcPr>
          <w:p w:rsidR="003249CE" w:rsidRDefault="003249CE" w:rsidP="006855DD">
            <w:pPr>
              <w:spacing w:after="0" w:line="240" w:lineRule="auto"/>
              <w:jc w:val="both"/>
              <w:rPr>
                <w:rFonts w:ascii="Times New Roman" w:hAnsi="Times New Roman" w:cs="Times New Roman"/>
                <w:sz w:val="26"/>
                <w:szCs w:val="26"/>
              </w:rPr>
            </w:pPr>
          </w:p>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 соответствии с ст. 131 Бюджетного кодекса РФ подготовка и представление исходных данных для проведения расчетов распределения дотаций на выравнивание бюджетной обеспеченности Чеченской Республики, согласование основных параметров бюджета Чеченской Республики в Министерство финансов РФ</w:t>
            </w:r>
          </w:p>
          <w:p w:rsidR="006855DD" w:rsidRPr="001E36DF" w:rsidRDefault="006855DD" w:rsidP="006855DD">
            <w:pPr>
              <w:spacing w:after="0" w:line="240" w:lineRule="auto"/>
              <w:jc w:val="both"/>
              <w:rPr>
                <w:rFonts w:ascii="Times New Roman" w:hAnsi="Times New Roman" w:cs="Times New Roman"/>
                <w:sz w:val="26"/>
                <w:szCs w:val="26"/>
              </w:rPr>
            </w:pPr>
          </w:p>
          <w:p w:rsidR="006855DD" w:rsidRPr="001E36DF" w:rsidRDefault="006855DD" w:rsidP="006855DD">
            <w:pPr>
              <w:spacing w:after="0" w:line="240" w:lineRule="auto"/>
              <w:jc w:val="both"/>
              <w:rPr>
                <w:rFonts w:ascii="Times New Roman" w:hAnsi="Times New Roman" w:cs="Times New Roman"/>
                <w:sz w:val="26"/>
                <w:szCs w:val="26"/>
              </w:rPr>
            </w:pP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lastRenderedPageBreak/>
              <w:t>Июнь 2011 года</w:t>
            </w:r>
          </w:p>
        </w:tc>
        <w:tc>
          <w:tcPr>
            <w:tcW w:w="6793" w:type="dxa"/>
          </w:tcPr>
          <w:p w:rsidR="003249CE" w:rsidRPr="001E36DF" w:rsidRDefault="003249CE" w:rsidP="006855DD">
            <w:pPr>
              <w:pStyle w:val="ConsNonformat"/>
              <w:widowControl/>
              <w:jc w:val="both"/>
              <w:rPr>
                <w:rFonts w:ascii="Times New Roman" w:hAnsi="Times New Roman" w:cs="Times New Roman"/>
                <w:sz w:val="26"/>
                <w:szCs w:val="26"/>
              </w:rPr>
            </w:pPr>
            <w:r w:rsidRPr="001E36DF">
              <w:rPr>
                <w:rFonts w:ascii="Times New Roman" w:hAnsi="Times New Roman" w:cs="Times New Roman"/>
                <w:sz w:val="26"/>
                <w:szCs w:val="26"/>
              </w:rPr>
              <w:t xml:space="preserve">Организация работы бюджетной комиссии в соответствии с Постановлением Правительства Чеченской Республики от 20 июня </w:t>
            </w:r>
            <w:smartTag w:uri="urn:schemas-microsoft-com:office:smarttags" w:element="metricconverter">
              <w:smartTagPr>
                <w:attr w:name="ProductID" w:val="2008 г"/>
              </w:smartTagPr>
              <w:r w:rsidRPr="001E36DF">
                <w:rPr>
                  <w:rFonts w:ascii="Times New Roman" w:hAnsi="Times New Roman" w:cs="Times New Roman"/>
                  <w:sz w:val="26"/>
                  <w:szCs w:val="26"/>
                </w:rPr>
                <w:t>2008 г</w:t>
              </w:r>
            </w:smartTag>
            <w:r w:rsidRPr="001E36DF">
              <w:rPr>
                <w:rFonts w:ascii="Times New Roman" w:hAnsi="Times New Roman" w:cs="Times New Roman"/>
                <w:sz w:val="26"/>
                <w:szCs w:val="26"/>
              </w:rPr>
              <w:t>. №106 «О порядке составления проектов республиканского бюджета и Бюджета Территориального Фонда Обязательного Медицинского Страхования Чеченской Республики».</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Июль – октябрь          2011 года</w:t>
            </w: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p>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Проведение заседаний бюджетной комиссии по вопросам согласования параметров республиканского бюджета и бюджетов муниципальных образований на 2012 год. </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 xml:space="preserve">Сентябрь 2011 года </w:t>
            </w: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p>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Завершение работы по подготовке проекта республиканского бюджета и согласование параметров бюджетов муниципальных образований на 2012 год.</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Октябрь 2011 года</w:t>
            </w: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p>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Внесение проекта закона Чеченской Республики «О республиканском бюджете Чеченской Республики на 2012 год и на плановый период 2014 и 2015 годов» в Парламент Чеченской Республики и представление его на заключение в Министерство финансов Российской Федерации.</w:t>
            </w:r>
          </w:p>
          <w:p w:rsidR="002D285C" w:rsidRPr="001E36DF" w:rsidRDefault="002D285C" w:rsidP="006855DD">
            <w:pPr>
              <w:spacing w:after="0" w:line="240" w:lineRule="auto"/>
              <w:jc w:val="both"/>
              <w:rPr>
                <w:rFonts w:ascii="Times New Roman" w:hAnsi="Times New Roman" w:cs="Times New Roman"/>
                <w:sz w:val="26"/>
                <w:szCs w:val="26"/>
              </w:rPr>
            </w:pPr>
          </w:p>
        </w:tc>
      </w:tr>
      <w:tr w:rsidR="003249CE" w:rsidRPr="001E36DF" w:rsidTr="009C1D54">
        <w:tc>
          <w:tcPr>
            <w:tcW w:w="2563" w:type="dxa"/>
          </w:tcPr>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Ноябрь 2011 года</w:t>
            </w:r>
          </w:p>
        </w:tc>
        <w:tc>
          <w:tcPr>
            <w:tcW w:w="6793" w:type="dxa"/>
          </w:tcPr>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Рассмотрение в Парламенте Чеченской Республики проекта закона «О республиканском бюджете Чеченской Республики на 2012 год и на плановый период 2014 и 2015 годов» в первом чтении и втором чтении.</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Принятие и утверждение Закона Чеченской Республики от 30.11.2011г. №42-РЗ «О республиканском бюджете Чеченской Республики на 2012 год и на плановый период 2014 и 2015 годов».</w:t>
            </w:r>
          </w:p>
          <w:p w:rsidR="002D285C" w:rsidRPr="001E36DF" w:rsidRDefault="002D285C" w:rsidP="006855DD">
            <w:pPr>
              <w:spacing w:after="0" w:line="240" w:lineRule="auto"/>
              <w:jc w:val="both"/>
              <w:rPr>
                <w:rFonts w:ascii="Times New Roman" w:hAnsi="Times New Roman" w:cs="Times New Roman"/>
                <w:sz w:val="26"/>
                <w:szCs w:val="26"/>
              </w:rPr>
            </w:pPr>
          </w:p>
        </w:tc>
      </w:tr>
      <w:tr w:rsidR="003249CE" w:rsidRPr="001E36DF" w:rsidTr="009C1D54">
        <w:tc>
          <w:tcPr>
            <w:tcW w:w="2563" w:type="dxa"/>
          </w:tcPr>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Декабрь 2011 года</w:t>
            </w:r>
          </w:p>
        </w:tc>
        <w:tc>
          <w:tcPr>
            <w:tcW w:w="6793" w:type="dxa"/>
          </w:tcPr>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 соответствии Приказом Министерства финансов Чеченской Республики от 02.12.2009 №166-п «Об утверждении Порядка составления и ведения сводной бюджетной росписи республиканского бюджета и бюджетных росписей главных распорядителей средств республиканского бюджета (главных администраторов источников финансирования дефицита республиканского бюджета)» утверждение сводной бюджетной росписи республиканского бюджета на 2012 год»</w:t>
            </w:r>
          </w:p>
          <w:p w:rsidR="002D285C" w:rsidRPr="001E36DF" w:rsidRDefault="002D285C" w:rsidP="006855DD">
            <w:pPr>
              <w:spacing w:after="0" w:line="240" w:lineRule="auto"/>
              <w:jc w:val="both"/>
              <w:rPr>
                <w:rFonts w:ascii="Times New Roman" w:hAnsi="Times New Roman" w:cs="Times New Roman"/>
                <w:sz w:val="26"/>
                <w:szCs w:val="26"/>
              </w:rPr>
            </w:pPr>
          </w:p>
          <w:p w:rsidR="006855DD" w:rsidRPr="001E36DF" w:rsidRDefault="006855DD" w:rsidP="006855DD">
            <w:pPr>
              <w:spacing w:after="0" w:line="240" w:lineRule="auto"/>
              <w:jc w:val="both"/>
              <w:rPr>
                <w:rFonts w:ascii="Times New Roman" w:hAnsi="Times New Roman" w:cs="Times New Roman"/>
                <w:sz w:val="26"/>
                <w:szCs w:val="26"/>
              </w:rPr>
            </w:pPr>
          </w:p>
        </w:tc>
      </w:tr>
      <w:tr w:rsidR="003249CE" w:rsidRPr="001E36DF" w:rsidTr="009C1D54">
        <w:tc>
          <w:tcPr>
            <w:tcW w:w="2563" w:type="dxa"/>
          </w:tcPr>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1D0C4C"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lastRenderedPageBreak/>
              <w:t xml:space="preserve">Февраль </w:t>
            </w:r>
            <w:r w:rsidR="003249CE" w:rsidRPr="001E36DF">
              <w:rPr>
                <w:rFonts w:ascii="Times New Roman" w:hAnsi="Times New Roman" w:cs="Times New Roman"/>
                <w:sz w:val="26"/>
                <w:szCs w:val="26"/>
              </w:rPr>
              <w:t>2012 года</w:t>
            </w:r>
          </w:p>
        </w:tc>
        <w:tc>
          <w:tcPr>
            <w:tcW w:w="6793" w:type="dxa"/>
          </w:tcPr>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lastRenderedPageBreak/>
              <w:t xml:space="preserve">Закон Чеченской Республики от </w:t>
            </w:r>
            <w:r w:rsidR="001D0C4C" w:rsidRPr="001E36DF">
              <w:rPr>
                <w:rFonts w:ascii="Times New Roman" w:hAnsi="Times New Roman" w:cs="Times New Roman"/>
                <w:sz w:val="26"/>
                <w:szCs w:val="26"/>
              </w:rPr>
              <w:t>24</w:t>
            </w:r>
            <w:r w:rsidRPr="001E36DF">
              <w:rPr>
                <w:rFonts w:ascii="Times New Roman" w:hAnsi="Times New Roman" w:cs="Times New Roman"/>
                <w:sz w:val="26"/>
                <w:szCs w:val="26"/>
              </w:rPr>
              <w:t>.0</w:t>
            </w:r>
            <w:r w:rsidR="001D0C4C" w:rsidRPr="001E36DF">
              <w:rPr>
                <w:rFonts w:ascii="Times New Roman" w:hAnsi="Times New Roman" w:cs="Times New Roman"/>
                <w:sz w:val="26"/>
                <w:szCs w:val="26"/>
              </w:rPr>
              <w:t>2</w:t>
            </w:r>
            <w:r w:rsidRPr="001E36DF">
              <w:rPr>
                <w:rFonts w:ascii="Times New Roman" w:hAnsi="Times New Roman" w:cs="Times New Roman"/>
                <w:sz w:val="26"/>
                <w:szCs w:val="26"/>
              </w:rPr>
              <w:t>.201</w:t>
            </w:r>
            <w:r w:rsidR="001D0C4C" w:rsidRPr="001E36DF">
              <w:rPr>
                <w:rFonts w:ascii="Times New Roman" w:hAnsi="Times New Roman" w:cs="Times New Roman"/>
                <w:sz w:val="26"/>
                <w:szCs w:val="26"/>
              </w:rPr>
              <w:t>2</w:t>
            </w:r>
            <w:r w:rsidRPr="001E36DF">
              <w:rPr>
                <w:rFonts w:ascii="Times New Roman" w:hAnsi="Times New Roman" w:cs="Times New Roman"/>
                <w:sz w:val="26"/>
                <w:szCs w:val="26"/>
              </w:rPr>
              <w:t>г. №</w:t>
            </w:r>
            <w:r w:rsidR="001D0C4C" w:rsidRPr="001E36DF">
              <w:rPr>
                <w:rFonts w:ascii="Times New Roman" w:hAnsi="Times New Roman" w:cs="Times New Roman"/>
                <w:sz w:val="26"/>
                <w:szCs w:val="26"/>
              </w:rPr>
              <w:t>2</w:t>
            </w:r>
            <w:r w:rsidRPr="001E36DF">
              <w:rPr>
                <w:rFonts w:ascii="Times New Roman" w:hAnsi="Times New Roman" w:cs="Times New Roman"/>
                <w:sz w:val="26"/>
                <w:szCs w:val="26"/>
              </w:rPr>
              <w:t>-РЗ «</w:t>
            </w:r>
            <w:r w:rsidR="006054B0" w:rsidRPr="001E36DF">
              <w:rPr>
                <w:rFonts w:ascii="Times New Roman" w:hAnsi="Times New Roman" w:cs="Times New Roman"/>
                <w:sz w:val="26"/>
                <w:szCs w:val="26"/>
              </w:rPr>
              <w:t>О внесении изменений в закон Чеченской Республики "О республиканском бюджете на 2012 год и на плановый период 2013 и 2014 годов"».</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0E6B33"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Июнь</w:t>
            </w:r>
            <w:r w:rsidR="003249CE" w:rsidRPr="001E36DF">
              <w:rPr>
                <w:rFonts w:ascii="Times New Roman" w:hAnsi="Times New Roman" w:cs="Times New Roman"/>
                <w:sz w:val="26"/>
                <w:szCs w:val="26"/>
              </w:rPr>
              <w:t xml:space="preserve"> 2012 года</w:t>
            </w: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p>
          <w:p w:rsidR="006855DD" w:rsidRPr="001E36DF" w:rsidRDefault="006855DD"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Закон Чеченской Республики от 06.0</w:t>
            </w:r>
            <w:r w:rsidR="000E6B33" w:rsidRPr="001E36DF">
              <w:rPr>
                <w:rFonts w:ascii="Times New Roman" w:hAnsi="Times New Roman" w:cs="Times New Roman"/>
                <w:sz w:val="26"/>
                <w:szCs w:val="26"/>
              </w:rPr>
              <w:t>7</w:t>
            </w:r>
            <w:r w:rsidRPr="001E36DF">
              <w:rPr>
                <w:rFonts w:ascii="Times New Roman" w:hAnsi="Times New Roman" w:cs="Times New Roman"/>
                <w:sz w:val="26"/>
                <w:szCs w:val="26"/>
              </w:rPr>
              <w:t>.201</w:t>
            </w:r>
            <w:r w:rsidR="000E6B33" w:rsidRPr="001E36DF">
              <w:rPr>
                <w:rFonts w:ascii="Times New Roman" w:hAnsi="Times New Roman" w:cs="Times New Roman"/>
                <w:sz w:val="26"/>
                <w:szCs w:val="26"/>
              </w:rPr>
              <w:t>2</w:t>
            </w:r>
            <w:r w:rsidRPr="001E36DF">
              <w:rPr>
                <w:rFonts w:ascii="Times New Roman" w:hAnsi="Times New Roman" w:cs="Times New Roman"/>
                <w:sz w:val="26"/>
                <w:szCs w:val="26"/>
              </w:rPr>
              <w:t>г. №</w:t>
            </w:r>
            <w:r w:rsidR="000E6B33" w:rsidRPr="001E36DF">
              <w:rPr>
                <w:rFonts w:ascii="Times New Roman" w:hAnsi="Times New Roman" w:cs="Times New Roman"/>
                <w:sz w:val="26"/>
                <w:szCs w:val="26"/>
              </w:rPr>
              <w:t>15</w:t>
            </w:r>
            <w:r w:rsidRPr="001E36DF">
              <w:rPr>
                <w:rFonts w:ascii="Times New Roman" w:hAnsi="Times New Roman" w:cs="Times New Roman"/>
                <w:sz w:val="26"/>
                <w:szCs w:val="26"/>
              </w:rPr>
              <w:t>-РЗ «</w:t>
            </w:r>
            <w:r w:rsidR="000E6B33" w:rsidRPr="001E36DF">
              <w:rPr>
                <w:rFonts w:ascii="Times New Roman" w:hAnsi="Times New Roman" w:cs="Times New Roman"/>
                <w:sz w:val="26"/>
                <w:szCs w:val="26"/>
              </w:rPr>
              <w:t>О внесении изменений в закон Чеченской Республики "О республиканском бюджете на 2012 год и на плановый период 2013 и 2014 годов"</w:t>
            </w:r>
            <w:r w:rsidRPr="001E36DF">
              <w:rPr>
                <w:rFonts w:ascii="Times New Roman" w:hAnsi="Times New Roman" w:cs="Times New Roman"/>
                <w:sz w:val="26"/>
                <w:szCs w:val="26"/>
              </w:rPr>
              <w:t>».</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p w:rsidR="006855DD" w:rsidRPr="001E36DF" w:rsidRDefault="006855DD" w:rsidP="006855DD">
            <w:pPr>
              <w:spacing w:after="0" w:line="240" w:lineRule="auto"/>
              <w:rPr>
                <w:rFonts w:ascii="Times New Roman" w:hAnsi="Times New Roman" w:cs="Times New Roman"/>
                <w:sz w:val="26"/>
                <w:szCs w:val="26"/>
              </w:rPr>
            </w:pPr>
          </w:p>
          <w:p w:rsidR="003249CE" w:rsidRPr="001E36DF" w:rsidRDefault="001A584B"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 xml:space="preserve">Октябрь </w:t>
            </w:r>
            <w:r w:rsidR="003249CE" w:rsidRPr="001E36DF">
              <w:rPr>
                <w:rFonts w:ascii="Times New Roman" w:hAnsi="Times New Roman" w:cs="Times New Roman"/>
                <w:sz w:val="26"/>
                <w:szCs w:val="26"/>
              </w:rPr>
              <w:t>2012 года</w:t>
            </w:r>
          </w:p>
        </w:tc>
        <w:tc>
          <w:tcPr>
            <w:tcW w:w="6793" w:type="dxa"/>
          </w:tcPr>
          <w:p w:rsidR="006855DD" w:rsidRPr="001E36DF" w:rsidRDefault="006855DD" w:rsidP="006855DD">
            <w:pPr>
              <w:spacing w:after="0" w:line="240" w:lineRule="auto"/>
              <w:jc w:val="both"/>
              <w:rPr>
                <w:rFonts w:ascii="Times New Roman" w:hAnsi="Times New Roman" w:cs="Times New Roman"/>
                <w:sz w:val="26"/>
                <w:szCs w:val="26"/>
              </w:rPr>
            </w:pPr>
          </w:p>
          <w:p w:rsidR="006855DD" w:rsidRPr="001E36DF" w:rsidRDefault="006855DD"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Закон Чеченской Республики от 0</w:t>
            </w:r>
            <w:r w:rsidR="001A584B" w:rsidRPr="001E36DF">
              <w:rPr>
                <w:rFonts w:ascii="Times New Roman" w:hAnsi="Times New Roman" w:cs="Times New Roman"/>
                <w:sz w:val="26"/>
                <w:szCs w:val="26"/>
              </w:rPr>
              <w:t>3</w:t>
            </w:r>
            <w:r w:rsidRPr="001E36DF">
              <w:rPr>
                <w:rFonts w:ascii="Times New Roman" w:hAnsi="Times New Roman" w:cs="Times New Roman"/>
                <w:sz w:val="26"/>
                <w:szCs w:val="26"/>
              </w:rPr>
              <w:t>.</w:t>
            </w:r>
            <w:r w:rsidR="001A584B" w:rsidRPr="001E36DF">
              <w:rPr>
                <w:rFonts w:ascii="Times New Roman" w:hAnsi="Times New Roman" w:cs="Times New Roman"/>
                <w:sz w:val="26"/>
                <w:szCs w:val="26"/>
              </w:rPr>
              <w:t>10</w:t>
            </w:r>
            <w:r w:rsidRPr="001E36DF">
              <w:rPr>
                <w:rFonts w:ascii="Times New Roman" w:hAnsi="Times New Roman" w:cs="Times New Roman"/>
                <w:sz w:val="26"/>
                <w:szCs w:val="26"/>
              </w:rPr>
              <w:t>.201</w:t>
            </w:r>
            <w:r w:rsidR="001A584B" w:rsidRPr="001E36DF">
              <w:rPr>
                <w:rFonts w:ascii="Times New Roman" w:hAnsi="Times New Roman" w:cs="Times New Roman"/>
                <w:sz w:val="26"/>
                <w:szCs w:val="26"/>
              </w:rPr>
              <w:t>2</w:t>
            </w:r>
            <w:r w:rsidRPr="001E36DF">
              <w:rPr>
                <w:rFonts w:ascii="Times New Roman" w:hAnsi="Times New Roman" w:cs="Times New Roman"/>
                <w:sz w:val="26"/>
                <w:szCs w:val="26"/>
              </w:rPr>
              <w:t>г. №</w:t>
            </w:r>
            <w:r w:rsidR="001A584B" w:rsidRPr="001E36DF">
              <w:rPr>
                <w:rFonts w:ascii="Times New Roman" w:hAnsi="Times New Roman" w:cs="Times New Roman"/>
                <w:sz w:val="26"/>
                <w:szCs w:val="26"/>
              </w:rPr>
              <w:t>26</w:t>
            </w:r>
            <w:r w:rsidRPr="001E36DF">
              <w:rPr>
                <w:rFonts w:ascii="Times New Roman" w:hAnsi="Times New Roman" w:cs="Times New Roman"/>
                <w:sz w:val="26"/>
                <w:szCs w:val="26"/>
              </w:rPr>
              <w:t>-РЗ «</w:t>
            </w:r>
            <w:r w:rsidR="001A584B" w:rsidRPr="001E36DF">
              <w:rPr>
                <w:rFonts w:ascii="Times New Roman" w:hAnsi="Times New Roman" w:cs="Times New Roman"/>
                <w:sz w:val="26"/>
                <w:szCs w:val="26"/>
              </w:rPr>
              <w:t>О внесении изменений в закон Чеченской Республики "О республиканском бюджете на 2012 год и на плановый период 2013 и 2014 годов"</w:t>
            </w:r>
            <w:r w:rsidRPr="001E36DF">
              <w:rPr>
                <w:rFonts w:ascii="Times New Roman" w:hAnsi="Times New Roman" w:cs="Times New Roman"/>
                <w:sz w:val="26"/>
                <w:szCs w:val="26"/>
              </w:rPr>
              <w:t>.</w:t>
            </w: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p w:rsidR="001E36DF" w:rsidRPr="001E36DF" w:rsidRDefault="001E36DF" w:rsidP="006855DD">
            <w:pPr>
              <w:spacing w:after="0" w:line="240" w:lineRule="auto"/>
              <w:rPr>
                <w:rFonts w:ascii="Times New Roman" w:hAnsi="Times New Roman" w:cs="Times New Roman"/>
                <w:sz w:val="26"/>
                <w:szCs w:val="26"/>
              </w:rPr>
            </w:pPr>
          </w:p>
          <w:p w:rsidR="003249CE" w:rsidRPr="001E36DF" w:rsidRDefault="001A584B"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Декабрь</w:t>
            </w:r>
            <w:r w:rsidR="003249CE" w:rsidRPr="001E36DF">
              <w:rPr>
                <w:rFonts w:ascii="Times New Roman" w:hAnsi="Times New Roman" w:cs="Times New Roman"/>
                <w:sz w:val="26"/>
                <w:szCs w:val="26"/>
              </w:rPr>
              <w:t xml:space="preserve"> 2012 года</w:t>
            </w: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p>
          <w:p w:rsidR="001E36DF" w:rsidRPr="001E36DF" w:rsidRDefault="001E36DF" w:rsidP="006855DD">
            <w:pPr>
              <w:spacing w:after="0" w:line="240" w:lineRule="auto"/>
              <w:jc w:val="both"/>
              <w:rPr>
                <w:rFonts w:ascii="Times New Roman" w:hAnsi="Times New Roman" w:cs="Times New Roman"/>
                <w:sz w:val="26"/>
                <w:szCs w:val="26"/>
              </w:rPr>
            </w:pPr>
          </w:p>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Закон Чеченской Республики от </w:t>
            </w:r>
            <w:r w:rsidR="001A584B" w:rsidRPr="001E36DF">
              <w:rPr>
                <w:rFonts w:ascii="Times New Roman" w:hAnsi="Times New Roman" w:cs="Times New Roman"/>
                <w:sz w:val="26"/>
                <w:szCs w:val="26"/>
              </w:rPr>
              <w:t>18</w:t>
            </w:r>
            <w:r w:rsidRPr="001E36DF">
              <w:rPr>
                <w:rFonts w:ascii="Times New Roman" w:hAnsi="Times New Roman" w:cs="Times New Roman"/>
                <w:sz w:val="26"/>
                <w:szCs w:val="26"/>
              </w:rPr>
              <w:t>.</w:t>
            </w:r>
            <w:r w:rsidR="001A584B" w:rsidRPr="001E36DF">
              <w:rPr>
                <w:rFonts w:ascii="Times New Roman" w:hAnsi="Times New Roman" w:cs="Times New Roman"/>
                <w:sz w:val="26"/>
                <w:szCs w:val="26"/>
              </w:rPr>
              <w:t>12</w:t>
            </w:r>
            <w:r w:rsidRPr="001E36DF">
              <w:rPr>
                <w:rFonts w:ascii="Times New Roman" w:hAnsi="Times New Roman" w:cs="Times New Roman"/>
                <w:sz w:val="26"/>
                <w:szCs w:val="26"/>
              </w:rPr>
              <w:t>.201</w:t>
            </w:r>
            <w:r w:rsidR="001A584B" w:rsidRPr="001E36DF">
              <w:rPr>
                <w:rFonts w:ascii="Times New Roman" w:hAnsi="Times New Roman" w:cs="Times New Roman"/>
                <w:sz w:val="26"/>
                <w:szCs w:val="26"/>
              </w:rPr>
              <w:t>2</w:t>
            </w:r>
            <w:r w:rsidRPr="001E36DF">
              <w:rPr>
                <w:rFonts w:ascii="Times New Roman" w:hAnsi="Times New Roman" w:cs="Times New Roman"/>
                <w:sz w:val="26"/>
                <w:szCs w:val="26"/>
              </w:rPr>
              <w:t>г. №35-РЗ «</w:t>
            </w:r>
            <w:r w:rsidR="001A584B" w:rsidRPr="001E36DF">
              <w:rPr>
                <w:rFonts w:ascii="Times New Roman" w:hAnsi="Times New Roman" w:cs="Times New Roman"/>
                <w:sz w:val="26"/>
                <w:szCs w:val="26"/>
              </w:rPr>
              <w:t>О внесении изменений в закон Чеченской Республики "О республиканском бюджете на 2012 год и на плановый период 2013 и 2014 годов"</w:t>
            </w:r>
            <w:r w:rsidRPr="001E36DF">
              <w:rPr>
                <w:rFonts w:ascii="Times New Roman" w:hAnsi="Times New Roman" w:cs="Times New Roman"/>
                <w:sz w:val="26"/>
                <w:szCs w:val="26"/>
              </w:rPr>
              <w:t>»</w:t>
            </w:r>
          </w:p>
          <w:p w:rsidR="006855DD" w:rsidRPr="001E36DF" w:rsidRDefault="006855DD" w:rsidP="006855DD">
            <w:pPr>
              <w:spacing w:after="0" w:line="240" w:lineRule="auto"/>
              <w:jc w:val="both"/>
              <w:rPr>
                <w:rFonts w:ascii="Times New Roman" w:hAnsi="Times New Roman" w:cs="Times New Roman"/>
                <w:sz w:val="26"/>
                <w:szCs w:val="26"/>
              </w:rPr>
            </w:pP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p>
        </w:tc>
        <w:tc>
          <w:tcPr>
            <w:tcW w:w="6793" w:type="dxa"/>
          </w:tcPr>
          <w:p w:rsidR="003249CE" w:rsidRPr="001E36DF" w:rsidRDefault="003249CE" w:rsidP="006855D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Приказ министерства финансов Чеченской Республики от </w:t>
            </w:r>
            <w:r w:rsidR="006855DD" w:rsidRPr="001E36DF">
              <w:rPr>
                <w:rFonts w:ascii="Times New Roman" w:hAnsi="Times New Roman" w:cs="Times New Roman"/>
                <w:sz w:val="26"/>
                <w:szCs w:val="26"/>
              </w:rPr>
              <w:t>27</w:t>
            </w:r>
            <w:r w:rsidRPr="001E36DF">
              <w:rPr>
                <w:rFonts w:ascii="Times New Roman" w:hAnsi="Times New Roman" w:cs="Times New Roman"/>
                <w:sz w:val="26"/>
                <w:szCs w:val="26"/>
              </w:rPr>
              <w:t>.1</w:t>
            </w:r>
            <w:r w:rsidR="006855DD" w:rsidRPr="001E36DF">
              <w:rPr>
                <w:rFonts w:ascii="Times New Roman" w:hAnsi="Times New Roman" w:cs="Times New Roman"/>
                <w:sz w:val="26"/>
                <w:szCs w:val="26"/>
              </w:rPr>
              <w:t>2</w:t>
            </w:r>
            <w:r w:rsidRPr="001E36DF">
              <w:rPr>
                <w:rFonts w:ascii="Times New Roman" w:hAnsi="Times New Roman" w:cs="Times New Roman"/>
                <w:sz w:val="26"/>
                <w:szCs w:val="26"/>
              </w:rPr>
              <w:t>.201</w:t>
            </w:r>
            <w:r w:rsidR="006855DD" w:rsidRPr="001E36DF">
              <w:rPr>
                <w:rFonts w:ascii="Times New Roman" w:hAnsi="Times New Roman" w:cs="Times New Roman"/>
                <w:sz w:val="26"/>
                <w:szCs w:val="26"/>
              </w:rPr>
              <w:t>2</w:t>
            </w:r>
            <w:r w:rsidRPr="001E36DF">
              <w:rPr>
                <w:rFonts w:ascii="Times New Roman" w:hAnsi="Times New Roman" w:cs="Times New Roman"/>
                <w:sz w:val="26"/>
                <w:szCs w:val="26"/>
              </w:rPr>
              <w:t>г.  №01-03-01/</w:t>
            </w:r>
            <w:r w:rsidR="006855DD" w:rsidRPr="001E36DF">
              <w:rPr>
                <w:rFonts w:ascii="Times New Roman" w:hAnsi="Times New Roman" w:cs="Times New Roman"/>
                <w:sz w:val="26"/>
                <w:szCs w:val="26"/>
              </w:rPr>
              <w:t>159</w:t>
            </w:r>
            <w:r w:rsidRPr="001E36DF">
              <w:rPr>
                <w:rFonts w:ascii="Times New Roman" w:hAnsi="Times New Roman" w:cs="Times New Roman"/>
                <w:sz w:val="26"/>
                <w:szCs w:val="26"/>
              </w:rPr>
              <w:t xml:space="preserve"> «</w:t>
            </w:r>
            <w:r w:rsidR="006855DD" w:rsidRPr="001E36DF">
              <w:rPr>
                <w:rFonts w:ascii="Times New Roman" w:hAnsi="Times New Roman" w:cs="Times New Roman"/>
                <w:sz w:val="26"/>
                <w:szCs w:val="26"/>
              </w:rPr>
              <w:t xml:space="preserve"> О внесении изменений в приказ от 20.12.2012г. №01-03-01/153 «</w:t>
            </w:r>
            <w:r w:rsidRPr="001E36DF">
              <w:rPr>
                <w:rFonts w:ascii="Times New Roman" w:hAnsi="Times New Roman" w:cs="Times New Roman"/>
                <w:sz w:val="26"/>
                <w:szCs w:val="26"/>
              </w:rPr>
              <w:t xml:space="preserve">О порядке завершения операций по исполнению республиканского и местных бюджетов в текущем финансовом году» </w:t>
            </w:r>
          </w:p>
          <w:p w:rsidR="004714D0" w:rsidRPr="001E36DF" w:rsidRDefault="004714D0" w:rsidP="006855DD">
            <w:pPr>
              <w:spacing w:after="0" w:line="240" w:lineRule="auto"/>
              <w:jc w:val="both"/>
              <w:rPr>
                <w:rFonts w:ascii="Times New Roman" w:hAnsi="Times New Roman" w:cs="Times New Roman"/>
                <w:sz w:val="26"/>
                <w:szCs w:val="26"/>
              </w:rPr>
            </w:pPr>
          </w:p>
          <w:p w:rsidR="006855DD" w:rsidRPr="001E36DF" w:rsidRDefault="006855DD" w:rsidP="006855DD">
            <w:pPr>
              <w:spacing w:after="0" w:line="240" w:lineRule="auto"/>
              <w:jc w:val="both"/>
              <w:rPr>
                <w:rFonts w:ascii="Times New Roman" w:hAnsi="Times New Roman" w:cs="Times New Roman"/>
                <w:sz w:val="26"/>
                <w:szCs w:val="26"/>
              </w:rPr>
            </w:pPr>
          </w:p>
        </w:tc>
      </w:tr>
      <w:tr w:rsidR="003249CE" w:rsidRPr="001E36DF" w:rsidTr="009C1D54">
        <w:tc>
          <w:tcPr>
            <w:tcW w:w="2563" w:type="dxa"/>
          </w:tcPr>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 xml:space="preserve">Февраль-Март </w:t>
            </w:r>
          </w:p>
          <w:p w:rsidR="003249CE" w:rsidRPr="001E36DF" w:rsidRDefault="003249CE" w:rsidP="006855DD">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2012 года</w:t>
            </w:r>
          </w:p>
        </w:tc>
        <w:tc>
          <w:tcPr>
            <w:tcW w:w="6793" w:type="dxa"/>
          </w:tcPr>
          <w:p w:rsidR="003249CE" w:rsidRPr="001E36DF" w:rsidRDefault="003249CE" w:rsidP="00581A58">
            <w:pPr>
              <w:spacing w:after="0" w:line="240" w:lineRule="auto"/>
              <w:jc w:val="both"/>
              <w:rPr>
                <w:rFonts w:ascii="Times New Roman" w:hAnsi="Times New Roman" w:cs="Times New Roman"/>
                <w:sz w:val="26"/>
                <w:szCs w:val="26"/>
              </w:rPr>
            </w:pPr>
            <w:proofErr w:type="gramStart"/>
            <w:r w:rsidRPr="001E36DF">
              <w:rPr>
                <w:rFonts w:ascii="Times New Roman" w:hAnsi="Times New Roman" w:cs="Times New Roman"/>
                <w:sz w:val="26"/>
                <w:szCs w:val="26"/>
              </w:rPr>
              <w:t>Предоставление годовой отчетности об исполнении консолидированного бюджета Чеченской Республики за 201</w:t>
            </w:r>
            <w:r w:rsidR="00581A58" w:rsidRPr="001E36DF">
              <w:rPr>
                <w:rFonts w:ascii="Times New Roman" w:hAnsi="Times New Roman" w:cs="Times New Roman"/>
                <w:sz w:val="26"/>
                <w:szCs w:val="26"/>
              </w:rPr>
              <w:t>2</w:t>
            </w:r>
            <w:r w:rsidRPr="001E36DF">
              <w:rPr>
                <w:rFonts w:ascii="Times New Roman" w:hAnsi="Times New Roman" w:cs="Times New Roman"/>
                <w:sz w:val="26"/>
                <w:szCs w:val="26"/>
              </w:rPr>
              <w:t xml:space="preserve"> год в соответствии с Приказом Казначейства Российской Федерации от 2</w:t>
            </w:r>
            <w:r w:rsidR="00581A58" w:rsidRPr="001E36DF">
              <w:rPr>
                <w:rFonts w:ascii="Times New Roman" w:hAnsi="Times New Roman" w:cs="Times New Roman"/>
                <w:sz w:val="26"/>
                <w:szCs w:val="26"/>
              </w:rPr>
              <w:t>9</w:t>
            </w:r>
            <w:r w:rsidRPr="001E36DF">
              <w:rPr>
                <w:rFonts w:ascii="Times New Roman" w:hAnsi="Times New Roman" w:cs="Times New Roman"/>
                <w:sz w:val="26"/>
                <w:szCs w:val="26"/>
              </w:rPr>
              <w:t>.1</w:t>
            </w:r>
            <w:r w:rsidR="00581A58" w:rsidRPr="001E36DF">
              <w:rPr>
                <w:rFonts w:ascii="Times New Roman" w:hAnsi="Times New Roman" w:cs="Times New Roman"/>
                <w:sz w:val="26"/>
                <w:szCs w:val="26"/>
              </w:rPr>
              <w:t>1</w:t>
            </w:r>
            <w:r w:rsidRPr="001E36DF">
              <w:rPr>
                <w:rFonts w:ascii="Times New Roman" w:hAnsi="Times New Roman" w:cs="Times New Roman"/>
                <w:sz w:val="26"/>
                <w:szCs w:val="26"/>
              </w:rPr>
              <w:t>.201</w:t>
            </w:r>
            <w:r w:rsidR="00581A58" w:rsidRPr="001E36DF">
              <w:rPr>
                <w:rFonts w:ascii="Times New Roman" w:hAnsi="Times New Roman" w:cs="Times New Roman"/>
                <w:sz w:val="26"/>
                <w:szCs w:val="26"/>
              </w:rPr>
              <w:t>2</w:t>
            </w:r>
            <w:r w:rsidRPr="001E36DF">
              <w:rPr>
                <w:rFonts w:ascii="Times New Roman" w:hAnsi="Times New Roman" w:cs="Times New Roman"/>
                <w:sz w:val="26"/>
                <w:szCs w:val="26"/>
              </w:rPr>
              <w:t xml:space="preserve"> N 18н "О сроках представления годовой отчетности об исполнении консолидированных бюджетов субъектов Российской Федерации и бюджетов территориальных государственных внебюджетных фондов, годовой отчетности об исполнении бюджетов государственных внебюджетных фондов, сводной бухгалтерской отчетности бюджетных и автономных учреждений за 201</w:t>
            </w:r>
            <w:r w:rsidR="00581A58" w:rsidRPr="001E36DF">
              <w:rPr>
                <w:rFonts w:ascii="Times New Roman" w:hAnsi="Times New Roman" w:cs="Times New Roman"/>
                <w:sz w:val="26"/>
                <w:szCs w:val="26"/>
              </w:rPr>
              <w:t>2</w:t>
            </w:r>
            <w:r w:rsidRPr="001E36DF">
              <w:rPr>
                <w:rFonts w:ascii="Times New Roman" w:hAnsi="Times New Roman" w:cs="Times New Roman"/>
                <w:sz w:val="26"/>
                <w:szCs w:val="26"/>
              </w:rPr>
              <w:t xml:space="preserve"> год, месячной</w:t>
            </w:r>
            <w:proofErr w:type="gramEnd"/>
            <w:r w:rsidRPr="001E36DF">
              <w:rPr>
                <w:rFonts w:ascii="Times New Roman" w:hAnsi="Times New Roman" w:cs="Times New Roman"/>
                <w:sz w:val="26"/>
                <w:szCs w:val="26"/>
              </w:rPr>
              <w:t xml:space="preserve"> и квартальной отчетности в 201</w:t>
            </w:r>
            <w:r w:rsidR="00581A58" w:rsidRPr="001E36DF">
              <w:rPr>
                <w:rFonts w:ascii="Times New Roman" w:hAnsi="Times New Roman" w:cs="Times New Roman"/>
                <w:sz w:val="26"/>
                <w:szCs w:val="26"/>
              </w:rPr>
              <w:t>3</w:t>
            </w:r>
            <w:r w:rsidRPr="001E36DF">
              <w:rPr>
                <w:rFonts w:ascii="Times New Roman" w:hAnsi="Times New Roman" w:cs="Times New Roman"/>
                <w:sz w:val="26"/>
                <w:szCs w:val="26"/>
              </w:rPr>
              <w:t xml:space="preserve"> году"</w:t>
            </w:r>
          </w:p>
        </w:tc>
      </w:tr>
    </w:tbl>
    <w:p w:rsidR="006855DD" w:rsidRDefault="006855DD" w:rsidP="003249CE">
      <w:pPr>
        <w:spacing w:line="360" w:lineRule="auto"/>
        <w:ind w:firstLine="709"/>
        <w:jc w:val="both"/>
        <w:rPr>
          <w:rFonts w:ascii="Times New Roman" w:hAnsi="Times New Roman" w:cs="Times New Roman"/>
          <w:sz w:val="28"/>
          <w:szCs w:val="28"/>
        </w:rPr>
      </w:pPr>
    </w:p>
    <w:p w:rsidR="001E36DF" w:rsidRDefault="001E36DF" w:rsidP="003249CE">
      <w:pPr>
        <w:spacing w:line="360" w:lineRule="auto"/>
        <w:ind w:firstLine="709"/>
        <w:jc w:val="both"/>
        <w:rPr>
          <w:rFonts w:ascii="Times New Roman" w:hAnsi="Times New Roman" w:cs="Times New Roman"/>
          <w:sz w:val="28"/>
          <w:szCs w:val="28"/>
        </w:rPr>
      </w:pPr>
    </w:p>
    <w:p w:rsidR="003249CE" w:rsidRPr="003249CE" w:rsidRDefault="003249CE" w:rsidP="003249CE">
      <w:pPr>
        <w:spacing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lastRenderedPageBreak/>
        <w:t>Исполнение консолидированного бюджета Чеченской Республики за 2012 год выглядит в общих чертах следующим образом.</w:t>
      </w:r>
      <w:r w:rsidR="00066A30">
        <w:rPr>
          <w:rFonts w:ascii="Times New Roman" w:hAnsi="Times New Roman" w:cs="Times New Roman"/>
          <w:sz w:val="28"/>
          <w:szCs w:val="28"/>
        </w:rPr>
        <w:t xml:space="preserve"> </w:t>
      </w:r>
      <w:r w:rsidRPr="003249CE">
        <w:rPr>
          <w:rFonts w:ascii="Times New Roman" w:hAnsi="Times New Roman" w:cs="Times New Roman"/>
          <w:sz w:val="28"/>
          <w:szCs w:val="28"/>
        </w:rPr>
        <w:t>Доходная часть исполнена на 99,0 %, а расходная соответственно на 96,2 %.</w:t>
      </w:r>
    </w:p>
    <w:p w:rsidR="003249CE" w:rsidRDefault="003249CE" w:rsidP="003249CE">
      <w:pPr>
        <w:spacing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Объем налоговых и неналоговых поступлений в расчете на душу населения составил 8 795 рублей и по отношению к предыдущему году увеличился на 10,6%. Рост собственных доходов был обусловлен увеличением поступлений по налогу на доходы физических лиц и налогу на имущество.</w:t>
      </w:r>
    </w:p>
    <w:p w:rsidR="004714D0" w:rsidRPr="003249CE" w:rsidRDefault="004714D0" w:rsidP="004714D0">
      <w:pPr>
        <w:spacing w:line="360" w:lineRule="auto"/>
        <w:jc w:val="both"/>
        <w:rPr>
          <w:rFonts w:ascii="Times New Roman" w:hAnsi="Times New Roman" w:cs="Times New Roman"/>
          <w:sz w:val="28"/>
          <w:szCs w:val="28"/>
        </w:rPr>
      </w:pPr>
      <w:r>
        <w:rPr>
          <w:noProof/>
          <w:lang w:eastAsia="ru-RU"/>
        </w:rPr>
        <w:drawing>
          <wp:inline distT="0" distB="0" distL="0" distR="0" wp14:anchorId="628C2223" wp14:editId="4F0341BE">
            <wp:extent cx="6361890" cy="3774332"/>
            <wp:effectExtent l="0" t="0" r="127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249CE" w:rsidRDefault="003249CE" w:rsidP="003249CE">
      <w:pPr>
        <w:spacing w:line="360" w:lineRule="auto"/>
        <w:ind w:firstLine="709"/>
        <w:jc w:val="both"/>
        <w:rPr>
          <w:rFonts w:ascii="Times New Roman" w:hAnsi="Times New Roman" w:cs="Times New Roman"/>
          <w:sz w:val="28"/>
          <w:szCs w:val="28"/>
        </w:rPr>
      </w:pPr>
      <w:proofErr w:type="gramStart"/>
      <w:r w:rsidRPr="003249CE">
        <w:rPr>
          <w:rFonts w:ascii="Times New Roman" w:hAnsi="Times New Roman" w:cs="Times New Roman"/>
          <w:sz w:val="28"/>
          <w:szCs w:val="28"/>
        </w:rPr>
        <w:t>Расходы бюджета на душу населения, с учетом бюджетных инвестиций в рамках ФЦП "Социально-экономическое развитие Чеченской Республики на 2008-2012 годы", составили 58 525 рублей, что меньше показателя  предыдущего года на 5,8%. Отрицательная динамика данного показателя объясняется уменьшением объема консолидированного бюджета Чеченской Республики связанная с сокращением средств выделенных в прошедшем году на реализацию ФЦП «Социально-экономическое развитие Чеченской Республики на 2008-2012 годы».</w:t>
      </w:r>
      <w:proofErr w:type="gramEnd"/>
    </w:p>
    <w:p w:rsidR="004714D0" w:rsidRPr="003249CE" w:rsidRDefault="004714D0" w:rsidP="001527E6">
      <w:pPr>
        <w:spacing w:line="360" w:lineRule="auto"/>
        <w:ind w:firstLine="142"/>
        <w:jc w:val="both"/>
        <w:rPr>
          <w:rFonts w:ascii="Times New Roman" w:hAnsi="Times New Roman" w:cs="Times New Roman"/>
          <w:sz w:val="28"/>
          <w:szCs w:val="28"/>
        </w:rPr>
      </w:pPr>
      <w:r>
        <w:rPr>
          <w:noProof/>
          <w:lang w:eastAsia="ru-RU"/>
        </w:rPr>
        <w:lastRenderedPageBreak/>
        <w:drawing>
          <wp:inline distT="0" distB="0" distL="0" distR="0" wp14:anchorId="58BEF9C4" wp14:editId="0FA8E18B">
            <wp:extent cx="5940425" cy="3362910"/>
            <wp:effectExtent l="0" t="0" r="3175"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249CE" w:rsidRDefault="003249CE" w:rsidP="003249CE">
      <w:pPr>
        <w:spacing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Удельный вес расходов на увеличение стоимости основных средств составил 33,6 %, бюджетные инвестиции по отношению к 2011 году сократились на 7,7%, что явилось, опять-таки, следствием уменьшение финансирования программных бюджетных инвестиций. Но, не смотря на это, мы находимся на втором месте по этому показателю в Северокавказском федеральном округе.</w:t>
      </w:r>
    </w:p>
    <w:p w:rsidR="001527E6" w:rsidRPr="003249CE" w:rsidRDefault="001527E6" w:rsidP="001527E6">
      <w:pPr>
        <w:spacing w:line="360" w:lineRule="auto"/>
        <w:jc w:val="both"/>
        <w:rPr>
          <w:rFonts w:ascii="Times New Roman" w:hAnsi="Times New Roman" w:cs="Times New Roman"/>
          <w:sz w:val="28"/>
          <w:szCs w:val="28"/>
        </w:rPr>
      </w:pPr>
      <w:r>
        <w:rPr>
          <w:noProof/>
          <w:lang w:eastAsia="ru-RU"/>
        </w:rPr>
        <w:drawing>
          <wp:inline distT="0" distB="0" distL="0" distR="0" wp14:anchorId="0B30837C" wp14:editId="3848B8BB">
            <wp:extent cx="5940425" cy="3470204"/>
            <wp:effectExtent l="0" t="0" r="3175"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249CE" w:rsidRPr="001527E6" w:rsidRDefault="00D64FC3" w:rsidP="00D64FC3">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Доходы консолидированного бюджета</w:t>
      </w:r>
    </w:p>
    <w:p w:rsidR="003249CE" w:rsidRPr="003249CE" w:rsidRDefault="003249CE" w:rsidP="00D64FC3">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Кассовое исполнение консолидированного бюджета Чеченской Республики по доходам за 2012 год составляет 99,0%. Согласно утвержденной отчетности, сумма исполнения равна 78 млрд. 303,3 млн. рублей, в том числе по налоговым и неналоговым доходам исполнение составляет 11 млрд. 650,6 млн. рублей, по безвозмездным поступлениям 66 млрд. 562,7 млн. рублей. </w:t>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Среднемесячные поступления по налоговым и неналоговым доходам за отчетный период составили 970,9 млн. рублей и по сравнению с 2010 годом увеличились на 12,5 %. </w:t>
      </w:r>
    </w:p>
    <w:p w:rsidR="00A77C22" w:rsidRPr="003249CE" w:rsidRDefault="00980A70" w:rsidP="00980A70">
      <w:pPr>
        <w:spacing w:after="0" w:line="360" w:lineRule="auto"/>
        <w:jc w:val="both"/>
        <w:rPr>
          <w:rFonts w:ascii="Times New Roman" w:hAnsi="Times New Roman" w:cs="Times New Roman"/>
          <w:sz w:val="28"/>
          <w:szCs w:val="28"/>
        </w:rPr>
      </w:pPr>
      <w:r>
        <w:rPr>
          <w:noProof/>
          <w:lang w:eastAsia="ru-RU"/>
        </w:rPr>
        <w:drawing>
          <wp:inline distT="0" distB="0" distL="0" distR="0" wp14:anchorId="20B526EF" wp14:editId="789E3758">
            <wp:extent cx="5940425" cy="3682953"/>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Основной удельный вес в общей сумме налоговых и неналоговых доходов занимают:</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налог на доходы физических лиц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- 61,2 %;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налог на товары (работы, услуги),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реализуемые на территории Российской Федерации</w:t>
      </w:r>
      <w:r w:rsidRPr="003249CE">
        <w:rPr>
          <w:rFonts w:ascii="Times New Roman" w:hAnsi="Times New Roman" w:cs="Times New Roman"/>
          <w:sz w:val="28"/>
          <w:szCs w:val="28"/>
        </w:rPr>
        <w:tab/>
      </w:r>
      <w:r w:rsidRPr="003249CE">
        <w:rPr>
          <w:rFonts w:ascii="Times New Roman" w:hAnsi="Times New Roman" w:cs="Times New Roman"/>
          <w:sz w:val="28"/>
          <w:szCs w:val="28"/>
        </w:rPr>
        <w:tab/>
        <w:t>- 22,7 %;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налог на имущество</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- 5,8 %;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налог на прибыль организаций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- 5,7 %.</w:t>
      </w:r>
    </w:p>
    <w:p w:rsidR="00980A70" w:rsidRDefault="00980A70" w:rsidP="00980A70">
      <w:pPr>
        <w:spacing w:after="0" w:line="360" w:lineRule="auto"/>
        <w:jc w:val="both"/>
        <w:rPr>
          <w:rFonts w:ascii="Times New Roman" w:hAnsi="Times New Roman" w:cs="Times New Roman"/>
          <w:sz w:val="28"/>
          <w:szCs w:val="28"/>
        </w:rPr>
      </w:pPr>
      <w:r>
        <w:rPr>
          <w:noProof/>
          <w:lang w:eastAsia="ru-RU"/>
        </w:rPr>
        <w:lastRenderedPageBreak/>
        <w:drawing>
          <wp:inline distT="0" distB="0" distL="0" distR="0" wp14:anchorId="0C55488B" wp14:editId="018BB193">
            <wp:extent cx="6060332" cy="3813242"/>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На эти налоги приходится 95,4 % всей суммы налоговых и неналоговых поступлений консолидированного бюджета Чеченской Республики, поступивших в 2012 году.</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По основным </w:t>
      </w:r>
      <w:proofErr w:type="spellStart"/>
      <w:r w:rsidRPr="003249CE">
        <w:rPr>
          <w:rFonts w:ascii="Times New Roman" w:hAnsi="Times New Roman" w:cs="Times New Roman"/>
          <w:sz w:val="28"/>
          <w:szCs w:val="28"/>
        </w:rPr>
        <w:t>бюджетообразующим</w:t>
      </w:r>
      <w:proofErr w:type="spellEnd"/>
      <w:r w:rsidRPr="003249CE">
        <w:rPr>
          <w:rFonts w:ascii="Times New Roman" w:hAnsi="Times New Roman" w:cs="Times New Roman"/>
          <w:sz w:val="28"/>
          <w:szCs w:val="28"/>
        </w:rPr>
        <w:t xml:space="preserve"> доходам консолидированного бюджета годовые назначения исполнены следующим образом:</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w:t>
      </w:r>
      <w:r w:rsidRPr="003249CE">
        <w:rPr>
          <w:rFonts w:ascii="Times New Roman" w:hAnsi="Times New Roman" w:cs="Times New Roman"/>
          <w:sz w:val="28"/>
          <w:szCs w:val="28"/>
        </w:rPr>
        <w:tab/>
        <w:t xml:space="preserve">налог на имущество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- 116,3%;</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w:t>
      </w:r>
      <w:r w:rsidRPr="003249CE">
        <w:rPr>
          <w:rFonts w:ascii="Times New Roman" w:hAnsi="Times New Roman" w:cs="Times New Roman"/>
          <w:sz w:val="28"/>
          <w:szCs w:val="28"/>
        </w:rPr>
        <w:tab/>
        <w:t>налог на доходы физических лиц</w:t>
      </w:r>
      <w:r w:rsidRPr="003249CE">
        <w:rPr>
          <w:rFonts w:ascii="Times New Roman" w:hAnsi="Times New Roman" w:cs="Times New Roman"/>
          <w:sz w:val="28"/>
          <w:szCs w:val="28"/>
        </w:rPr>
        <w:tab/>
        <w:t xml:space="preserve">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- 108,9 %;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w:t>
      </w:r>
      <w:r w:rsidRPr="003249CE">
        <w:rPr>
          <w:rFonts w:ascii="Times New Roman" w:hAnsi="Times New Roman" w:cs="Times New Roman"/>
          <w:sz w:val="28"/>
          <w:szCs w:val="28"/>
        </w:rPr>
        <w:tab/>
        <w:t xml:space="preserve">налог на товары (работы, услуги),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ab/>
        <w:t xml:space="preserve">реализуемые на территории Российской Федерации </w:t>
      </w:r>
      <w:r w:rsidRPr="003249CE">
        <w:rPr>
          <w:rFonts w:ascii="Times New Roman" w:hAnsi="Times New Roman" w:cs="Times New Roman"/>
          <w:sz w:val="28"/>
          <w:szCs w:val="28"/>
        </w:rPr>
        <w:tab/>
        <w:t>- 91,8%;</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w:t>
      </w:r>
      <w:r w:rsidRPr="003249CE">
        <w:rPr>
          <w:rFonts w:ascii="Times New Roman" w:hAnsi="Times New Roman" w:cs="Times New Roman"/>
          <w:sz w:val="28"/>
          <w:szCs w:val="28"/>
        </w:rPr>
        <w:tab/>
        <w:t xml:space="preserve">по налогу на прибыль организаций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- 37,7%.</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Анализ исполнения доходов по налоговым и неналоговым поступлениям в отчетном году выглядит следующим образом.</w:t>
      </w:r>
    </w:p>
    <w:p w:rsidR="003249CE" w:rsidRPr="003249CE" w:rsidRDefault="003249CE" w:rsidP="00980A70">
      <w:pPr>
        <w:spacing w:after="0" w:line="360" w:lineRule="auto"/>
        <w:ind w:firstLine="709"/>
        <w:jc w:val="both"/>
        <w:rPr>
          <w:rFonts w:ascii="Times New Roman" w:hAnsi="Times New Roman" w:cs="Times New Roman"/>
          <w:sz w:val="28"/>
          <w:szCs w:val="28"/>
        </w:rPr>
      </w:pPr>
      <w:proofErr w:type="gramStart"/>
      <w:r w:rsidRPr="003249CE">
        <w:rPr>
          <w:rFonts w:ascii="Times New Roman" w:hAnsi="Times New Roman" w:cs="Times New Roman"/>
          <w:sz w:val="28"/>
          <w:szCs w:val="28"/>
        </w:rPr>
        <w:t xml:space="preserve">Невыполнение бюджетных назначений по налогу на прибыль организаций в размере 62,3 % произошло вследствие того, что консолидированный бюджет Чеченской Республики недополучил поступления по налогу на прибыль предусмотренные от таких крупнейших налогоплательщиков Российской Федерации как ОАО «НК «Роснефть», ОАО </w:t>
      </w:r>
      <w:r w:rsidRPr="003249CE">
        <w:rPr>
          <w:rFonts w:ascii="Times New Roman" w:hAnsi="Times New Roman" w:cs="Times New Roman"/>
          <w:sz w:val="28"/>
          <w:szCs w:val="28"/>
        </w:rPr>
        <w:lastRenderedPageBreak/>
        <w:t>«Мегафон» и ОАО «Ростелеком», осуществляющих свою деятельность на территории Чеченской Республики, вследствие заключения ими в 2012 году договоров о создании консолидированных групп налогоплательщиков</w:t>
      </w:r>
      <w:proofErr w:type="gramEnd"/>
      <w:r w:rsidRPr="003249CE">
        <w:rPr>
          <w:rFonts w:ascii="Times New Roman" w:hAnsi="Times New Roman" w:cs="Times New Roman"/>
          <w:sz w:val="28"/>
          <w:szCs w:val="28"/>
        </w:rPr>
        <w:t>, что в результате привело к снижению отчислений налога на прибыль, зачисляемого в консолидированный бюджет Чеченской Республики.</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На 8,2 % или на 236,0 млн. рублей не были исполнены бюджетные назначения по акцизам на нефтепродукты, которые планируются и распределяются на федеральном уровне и, соответственно, планирование и администрирование данного вида дохода не входит в компетенцию региональных финансовых органов.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Поступление сверх утвержденных бюджетных назначений налога на доходы физических лиц на 8,9 % или 584,1 млн. рублей объясняется в основном увеличением с 2012 года денежного довольствия военнослужащих, проходящих военную службу на территории Чеченской республики и сотрудников Министерства внутренних дел Российской Федерации, а также ростом заработной платы работников бюджетной сферы.</w:t>
      </w:r>
    </w:p>
    <w:p w:rsidR="003249CE" w:rsidRPr="003249CE" w:rsidRDefault="003249CE" w:rsidP="00980A70">
      <w:pPr>
        <w:spacing w:after="0" w:line="360" w:lineRule="auto"/>
        <w:ind w:firstLine="709"/>
        <w:jc w:val="both"/>
        <w:rPr>
          <w:rFonts w:ascii="Times New Roman" w:hAnsi="Times New Roman" w:cs="Times New Roman"/>
          <w:sz w:val="28"/>
          <w:szCs w:val="28"/>
        </w:rPr>
      </w:pPr>
      <w:proofErr w:type="gramStart"/>
      <w:r w:rsidRPr="003249CE">
        <w:rPr>
          <w:rFonts w:ascii="Times New Roman" w:hAnsi="Times New Roman" w:cs="Times New Roman"/>
          <w:sz w:val="28"/>
          <w:szCs w:val="28"/>
        </w:rPr>
        <w:t>По налогам на имущество утвержденные бюджетные назначения  в целом были перевыполнены на 16,3 % или сверх утвержденных бюджетных назначений поступило 94,8 млн. рублей, в том числе по налогу на имущество организаций вследствие активизации работы администратора доходов в сумме на 133,1 % или на 144,5 млн. рублей и по транспортному налогу на 161,9 5 или на 8,6 млн. рублей, вследствие проведенной работы по</w:t>
      </w:r>
      <w:proofErr w:type="gramEnd"/>
      <w:r w:rsidRPr="003249CE">
        <w:rPr>
          <w:rFonts w:ascii="Times New Roman" w:hAnsi="Times New Roman" w:cs="Times New Roman"/>
          <w:sz w:val="28"/>
          <w:szCs w:val="28"/>
        </w:rPr>
        <w:t xml:space="preserve"> актуализации сведений о количестве и владельцах транспортных средств, с одновременным неисполнением бюджетных назначения по налогу на имущество физических лиц на 22,3 %, сумму 2,9 млн. рублей и земельному налогу на 46,7 % или 55,4 млн. рублей.</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Фактическое поступление в консолидированный бюджет Чеченской Республики безвозмездных поступлений из федерального </w:t>
      </w:r>
      <w:proofErr w:type="gramStart"/>
      <w:r w:rsidRPr="003249CE">
        <w:rPr>
          <w:rFonts w:ascii="Times New Roman" w:hAnsi="Times New Roman" w:cs="Times New Roman"/>
          <w:sz w:val="28"/>
          <w:szCs w:val="28"/>
        </w:rPr>
        <w:t>бюджета</w:t>
      </w:r>
      <w:proofErr w:type="gramEnd"/>
      <w:r w:rsidRPr="003249CE">
        <w:rPr>
          <w:rFonts w:ascii="Times New Roman" w:hAnsi="Times New Roman" w:cs="Times New Roman"/>
          <w:sz w:val="28"/>
          <w:szCs w:val="28"/>
        </w:rPr>
        <w:t xml:space="preserve"> согласно утвержденной отчетности составило 100% от утвержденных бюджетных назначений. Безвозмездные перечисления в течение 2012 года поступали </w:t>
      </w:r>
      <w:r w:rsidRPr="003249CE">
        <w:rPr>
          <w:rFonts w:ascii="Times New Roman" w:hAnsi="Times New Roman" w:cs="Times New Roman"/>
          <w:sz w:val="28"/>
          <w:szCs w:val="28"/>
        </w:rPr>
        <w:lastRenderedPageBreak/>
        <w:t>планомерно, что позволило своевременно исполнять принятые бюджетные обязательства.</w:t>
      </w:r>
    </w:p>
    <w:p w:rsidR="009C1D54" w:rsidRDefault="009C1D54" w:rsidP="00980A70">
      <w:pPr>
        <w:spacing w:after="0" w:line="360" w:lineRule="auto"/>
        <w:ind w:firstLine="709"/>
        <w:jc w:val="both"/>
        <w:rPr>
          <w:rFonts w:ascii="Times New Roman" w:hAnsi="Times New Roman" w:cs="Times New Roman"/>
          <w:sz w:val="28"/>
          <w:szCs w:val="28"/>
        </w:rPr>
      </w:pPr>
    </w:p>
    <w:p w:rsidR="00D64FC3" w:rsidRPr="00980A70" w:rsidRDefault="00D64FC3" w:rsidP="00980A70">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Расходы консолидированного бюджета</w:t>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Консолидированный бюджет Чеченской Республики за 2012 год по расходам исполнен на 96,2 %. Суммарный кассовый расход составляет 77  млрд. 531,9 млн. рублей. По сравнению с 2010 годом расходы консолидированного бюджета сократились на 4%.</w:t>
      </w:r>
    </w:p>
    <w:p w:rsidR="000713C2" w:rsidRPr="003249CE" w:rsidRDefault="000713C2" w:rsidP="000713C2">
      <w:pPr>
        <w:spacing w:after="0" w:line="360" w:lineRule="auto"/>
        <w:jc w:val="both"/>
        <w:rPr>
          <w:rFonts w:ascii="Times New Roman" w:hAnsi="Times New Roman" w:cs="Times New Roman"/>
          <w:sz w:val="28"/>
          <w:szCs w:val="28"/>
        </w:rPr>
      </w:pPr>
      <w:r>
        <w:rPr>
          <w:noProof/>
          <w:lang w:eastAsia="ru-RU"/>
        </w:rPr>
        <w:drawing>
          <wp:inline distT="0" distB="0" distL="0" distR="0" wp14:anchorId="794E3174" wp14:editId="78EDE7AA">
            <wp:extent cx="6060332" cy="2684834"/>
            <wp:effectExtent l="0" t="0" r="0" b="127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Бюджет 2012 года по функциональной структуре является социально ориентированным. Так на социальные мероприятия приходится 62,8% от общих расходов. Из них </w:t>
      </w:r>
      <w:proofErr w:type="gramStart"/>
      <w:r w:rsidRPr="003249CE">
        <w:rPr>
          <w:rFonts w:ascii="Times New Roman" w:hAnsi="Times New Roman" w:cs="Times New Roman"/>
          <w:sz w:val="28"/>
          <w:szCs w:val="28"/>
        </w:rPr>
        <w:t>на</w:t>
      </w:r>
      <w:proofErr w:type="gramEnd"/>
      <w:r w:rsidRPr="003249CE">
        <w:rPr>
          <w:rFonts w:ascii="Times New Roman" w:hAnsi="Times New Roman" w:cs="Times New Roman"/>
          <w:sz w:val="28"/>
          <w:szCs w:val="28"/>
        </w:rPr>
        <w:t>:</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образование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xml:space="preserve">– 25,5%;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культуру, кинематографию </w:t>
      </w:r>
      <w:r w:rsidRPr="003249CE">
        <w:rPr>
          <w:rFonts w:ascii="Times New Roman" w:hAnsi="Times New Roman" w:cs="Times New Roman"/>
          <w:sz w:val="28"/>
          <w:szCs w:val="28"/>
        </w:rPr>
        <w:tab/>
      </w:r>
      <w:r w:rsidRPr="003249CE">
        <w:rPr>
          <w:rFonts w:ascii="Times New Roman" w:hAnsi="Times New Roman" w:cs="Times New Roman"/>
          <w:sz w:val="28"/>
          <w:szCs w:val="28"/>
        </w:rPr>
        <w:tab/>
        <w:t>– 3,7 %;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здравоохранение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15,7%;</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социальную политику </w:t>
      </w:r>
      <w:r w:rsidRPr="003249CE">
        <w:rPr>
          <w:rFonts w:ascii="Times New Roman" w:hAnsi="Times New Roman" w:cs="Times New Roman"/>
          <w:sz w:val="28"/>
          <w:szCs w:val="28"/>
        </w:rPr>
        <w:tab/>
      </w:r>
      <w:r w:rsidRPr="003249CE">
        <w:rPr>
          <w:rFonts w:ascii="Times New Roman" w:hAnsi="Times New Roman" w:cs="Times New Roman"/>
          <w:sz w:val="28"/>
          <w:szCs w:val="28"/>
        </w:rPr>
        <w:tab/>
        <w:t>– 15,7%;</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физическую культуру и спорт</w:t>
      </w:r>
      <w:r w:rsidRPr="003249CE">
        <w:rPr>
          <w:rFonts w:ascii="Times New Roman" w:hAnsi="Times New Roman" w:cs="Times New Roman"/>
          <w:sz w:val="28"/>
          <w:szCs w:val="28"/>
        </w:rPr>
        <w:tab/>
        <w:t xml:space="preserve"> – 2,2%.</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На общеэкономические вопросы в бюджете приходится 25,2% от общей суммы кассового расхода, в том числе </w:t>
      </w:r>
      <w:proofErr w:type="gramStart"/>
      <w:r w:rsidRPr="003249CE">
        <w:rPr>
          <w:rFonts w:ascii="Times New Roman" w:hAnsi="Times New Roman" w:cs="Times New Roman"/>
          <w:sz w:val="28"/>
          <w:szCs w:val="28"/>
        </w:rPr>
        <w:t>на</w:t>
      </w:r>
      <w:proofErr w:type="gramEnd"/>
      <w:r w:rsidRPr="003249CE">
        <w:rPr>
          <w:rFonts w:ascii="Times New Roman" w:hAnsi="Times New Roman" w:cs="Times New Roman"/>
          <w:sz w:val="28"/>
          <w:szCs w:val="28"/>
        </w:rPr>
        <w:t>:</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национальную экономику </w:t>
      </w:r>
      <w:r w:rsidRPr="003249CE">
        <w:rPr>
          <w:rFonts w:ascii="Times New Roman" w:hAnsi="Times New Roman" w:cs="Times New Roman"/>
          <w:sz w:val="28"/>
          <w:szCs w:val="28"/>
        </w:rPr>
        <w:tab/>
      </w:r>
      <w:r w:rsidRPr="003249CE">
        <w:rPr>
          <w:rFonts w:ascii="Times New Roman" w:hAnsi="Times New Roman" w:cs="Times New Roman"/>
          <w:sz w:val="28"/>
          <w:szCs w:val="28"/>
        </w:rPr>
        <w:tab/>
        <w:t>– 14,5%;</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жилищно-коммунальное хозяйство – 10,6%;</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охрану окружающей среды </w:t>
      </w:r>
      <w:r w:rsidRPr="003249CE">
        <w:rPr>
          <w:rFonts w:ascii="Times New Roman" w:hAnsi="Times New Roman" w:cs="Times New Roman"/>
          <w:sz w:val="28"/>
          <w:szCs w:val="28"/>
        </w:rPr>
        <w:tab/>
      </w:r>
      <w:r w:rsidRPr="003249CE">
        <w:rPr>
          <w:rFonts w:ascii="Times New Roman" w:hAnsi="Times New Roman" w:cs="Times New Roman"/>
          <w:sz w:val="28"/>
          <w:szCs w:val="28"/>
        </w:rPr>
        <w:tab/>
        <w:t>– 0,1%.</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lastRenderedPageBreak/>
        <w:t>Организация вопросов общегосударственного характера занимает в расходах консолидированного бюджета 12%, из них:</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общегосударственные вопросы </w:t>
      </w:r>
      <w:r w:rsidRPr="003249CE">
        <w:rPr>
          <w:rFonts w:ascii="Times New Roman" w:hAnsi="Times New Roman" w:cs="Times New Roman"/>
          <w:sz w:val="28"/>
          <w:szCs w:val="28"/>
        </w:rPr>
        <w:tab/>
        <w:t>– 10,3%;</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национальная оборона </w:t>
      </w:r>
      <w:r w:rsidRPr="003249CE">
        <w:rPr>
          <w:rFonts w:ascii="Times New Roman" w:hAnsi="Times New Roman" w:cs="Times New Roman"/>
          <w:sz w:val="28"/>
          <w:szCs w:val="28"/>
        </w:rPr>
        <w:tab/>
        <w:t>– менее 1%;</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национальная безопасность и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правоохранительная деятельность </w:t>
      </w:r>
      <w:r w:rsidRPr="003249CE">
        <w:rPr>
          <w:rFonts w:ascii="Times New Roman" w:hAnsi="Times New Roman" w:cs="Times New Roman"/>
          <w:sz w:val="28"/>
          <w:szCs w:val="28"/>
        </w:rPr>
        <w:tab/>
        <w:t>– 0,4%;</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средства массовой информации </w:t>
      </w:r>
      <w:r w:rsidRPr="003249CE">
        <w:rPr>
          <w:rFonts w:ascii="Times New Roman" w:hAnsi="Times New Roman" w:cs="Times New Roman"/>
          <w:sz w:val="28"/>
          <w:szCs w:val="28"/>
        </w:rPr>
        <w:tab/>
        <w:t>– 1%;</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обслуживание </w:t>
      </w:r>
      <w:proofErr w:type="gramStart"/>
      <w:r w:rsidRPr="003249CE">
        <w:rPr>
          <w:rFonts w:ascii="Times New Roman" w:hAnsi="Times New Roman" w:cs="Times New Roman"/>
          <w:sz w:val="28"/>
          <w:szCs w:val="28"/>
        </w:rPr>
        <w:t>государственного</w:t>
      </w:r>
      <w:proofErr w:type="gramEnd"/>
      <w:r w:rsidRPr="003249CE">
        <w:rPr>
          <w:rFonts w:ascii="Times New Roman" w:hAnsi="Times New Roman" w:cs="Times New Roman"/>
          <w:sz w:val="28"/>
          <w:szCs w:val="28"/>
        </w:rPr>
        <w:t xml:space="preserve"> и </w:t>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муниципального долга</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xml:space="preserve"> – 0,2%.</w:t>
      </w:r>
    </w:p>
    <w:p w:rsidR="000713C2" w:rsidRPr="003249CE" w:rsidRDefault="000713C2" w:rsidP="000713C2">
      <w:pPr>
        <w:spacing w:after="0" w:line="360" w:lineRule="auto"/>
        <w:jc w:val="both"/>
        <w:rPr>
          <w:rFonts w:ascii="Times New Roman" w:hAnsi="Times New Roman" w:cs="Times New Roman"/>
          <w:sz w:val="28"/>
          <w:szCs w:val="28"/>
        </w:rPr>
      </w:pPr>
      <w:r>
        <w:rPr>
          <w:noProof/>
          <w:lang w:eastAsia="ru-RU"/>
        </w:rPr>
        <w:drawing>
          <wp:inline distT="0" distB="0" distL="0" distR="0" wp14:anchorId="39047723" wp14:editId="7F87C922">
            <wp:extent cx="6060332" cy="3599234"/>
            <wp:effectExtent l="0" t="0" r="0" b="127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По функциональной структуре расходов консолидированного бюджета произошли некоторые изменения, относительно структуры предыдущего года, наиболее существенные из них выглядят следующим образом. Раздел 07 «Образование» увеличился на 7,5%, что связанно, в частности, с реализацией целевых мероприятий по модернизации образования. По разделу 11 «физическая культура и спорт» произошло значительное сокращение – 4,8%, связанное с завершением в 2011 году программных мероприятий по бюджетным инвестициям в отрасль. «Жилищно-коммунальное хозяйство» раздел 05 уменьшился на 6,5%, что также </w:t>
      </w:r>
      <w:r w:rsidRPr="003249CE">
        <w:rPr>
          <w:rFonts w:ascii="Times New Roman" w:hAnsi="Times New Roman" w:cs="Times New Roman"/>
          <w:sz w:val="28"/>
          <w:szCs w:val="28"/>
        </w:rPr>
        <w:lastRenderedPageBreak/>
        <w:t xml:space="preserve">обусловлено сокращением программных бюджетных инвестиций в отрасль, а также сокращением вопросов ведения Министерства жилищно-коммунального хозяйства за счет создания Министерства строительства Чеченской Республики и передачи ему части функций. Расходы раздела 03 «национальная безопасность и правоохранительная деятельность» также имели отрицательную динамику равную 3,8%, это стало результатом </w:t>
      </w:r>
      <w:proofErr w:type="gramStart"/>
      <w:r w:rsidRPr="003249CE">
        <w:rPr>
          <w:rFonts w:ascii="Times New Roman" w:hAnsi="Times New Roman" w:cs="Times New Roman"/>
          <w:sz w:val="28"/>
          <w:szCs w:val="28"/>
        </w:rPr>
        <w:t>передачи вопросов финансирования органов внутренних дел республики</w:t>
      </w:r>
      <w:proofErr w:type="gramEnd"/>
      <w:r w:rsidRPr="003249CE">
        <w:rPr>
          <w:rFonts w:ascii="Times New Roman" w:hAnsi="Times New Roman" w:cs="Times New Roman"/>
          <w:sz w:val="28"/>
          <w:szCs w:val="28"/>
        </w:rPr>
        <w:t xml:space="preserve"> на федеральный уровень. Все изменения в структуре бюджета по функциональной принадлежности были обеспеченны без сокращения финансирования первостепенных вопросов отрасли и были обусловлены объективными процессами, протекающими в отдельных направлениях бюджетного сектора республики.</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В разрезе классификации расходов по операциям сектора государственного управления, наибольшие расходы по удельному весу сложились следующим образом: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поступление нефинансовых активов </w:t>
      </w:r>
      <w:r w:rsidRPr="003249CE">
        <w:rPr>
          <w:rFonts w:ascii="Times New Roman" w:hAnsi="Times New Roman" w:cs="Times New Roman"/>
          <w:sz w:val="28"/>
          <w:szCs w:val="28"/>
        </w:rPr>
        <w:tab/>
        <w:t>– 35,5%;</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Безвозмездные и безвозвратные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перечисления организациям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27,6%</w:t>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социальное обеспечение </w:t>
      </w:r>
      <w:r w:rsidRPr="003249CE">
        <w:rPr>
          <w:rFonts w:ascii="Times New Roman" w:hAnsi="Times New Roman" w:cs="Times New Roman"/>
          <w:sz w:val="28"/>
          <w:szCs w:val="28"/>
        </w:rPr>
        <w:tab/>
      </w:r>
      <w:r w:rsidRPr="003249CE">
        <w:rPr>
          <w:rFonts w:ascii="Times New Roman" w:hAnsi="Times New Roman" w:cs="Times New Roman"/>
          <w:sz w:val="28"/>
          <w:szCs w:val="28"/>
        </w:rPr>
        <w:tab/>
      </w:r>
      <w:r w:rsidRPr="003249CE">
        <w:rPr>
          <w:rFonts w:ascii="Times New Roman" w:hAnsi="Times New Roman" w:cs="Times New Roman"/>
          <w:sz w:val="28"/>
          <w:szCs w:val="28"/>
        </w:rPr>
        <w:tab/>
        <w:t>– 17,6%.</w:t>
      </w:r>
    </w:p>
    <w:p w:rsidR="000713C2" w:rsidRPr="003249CE" w:rsidRDefault="000713C2" w:rsidP="000713C2">
      <w:pPr>
        <w:spacing w:after="0" w:line="360" w:lineRule="auto"/>
        <w:jc w:val="both"/>
        <w:rPr>
          <w:rFonts w:ascii="Times New Roman" w:hAnsi="Times New Roman" w:cs="Times New Roman"/>
          <w:sz w:val="28"/>
          <w:szCs w:val="28"/>
        </w:rPr>
      </w:pPr>
      <w:r>
        <w:rPr>
          <w:noProof/>
          <w:lang w:eastAsia="ru-RU"/>
        </w:rPr>
        <w:drawing>
          <wp:inline distT="0" distB="0" distL="0" distR="0" wp14:anchorId="6181873D" wp14:editId="59D38FE1">
            <wp:extent cx="6070060" cy="3375498"/>
            <wp:effectExtent l="0" t="0" r="6985"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lastRenderedPageBreak/>
        <w:t>В структуре расходов бюджета бюджетные инвестиции в основные фонды составляют 33,6%, и текущие расходы составляют соответственно 6</w:t>
      </w:r>
      <w:r w:rsidR="000713C2">
        <w:rPr>
          <w:rFonts w:ascii="Times New Roman" w:hAnsi="Times New Roman" w:cs="Times New Roman"/>
          <w:sz w:val="28"/>
          <w:szCs w:val="28"/>
        </w:rPr>
        <w:t>6,4% от общих расходов бюджета.</w:t>
      </w:r>
    </w:p>
    <w:p w:rsidR="000713C2" w:rsidRPr="003249CE" w:rsidRDefault="004E2397" w:rsidP="004E2397">
      <w:pPr>
        <w:spacing w:after="0" w:line="360" w:lineRule="auto"/>
        <w:jc w:val="both"/>
        <w:rPr>
          <w:rFonts w:ascii="Times New Roman" w:hAnsi="Times New Roman" w:cs="Times New Roman"/>
          <w:sz w:val="28"/>
          <w:szCs w:val="28"/>
        </w:rPr>
      </w:pPr>
      <w:r>
        <w:rPr>
          <w:noProof/>
          <w:lang w:eastAsia="ru-RU"/>
        </w:rPr>
        <w:drawing>
          <wp:inline distT="0" distB="0" distL="0" distR="0" wp14:anchorId="0D80EBBF" wp14:editId="1A9C4C0F">
            <wp:extent cx="5940425" cy="3470204"/>
            <wp:effectExtent l="0" t="0" r="3175"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В сравнении с 2011г. соотношение долей текущих и капитальных расходов изменилось в сторону сокращения бюджетных инвес</w:t>
      </w:r>
      <w:r w:rsidR="004E2397">
        <w:rPr>
          <w:rFonts w:ascii="Times New Roman" w:hAnsi="Times New Roman" w:cs="Times New Roman"/>
          <w:sz w:val="28"/>
          <w:szCs w:val="28"/>
        </w:rPr>
        <w:t>тиций в основные фонды на 7,7%.</w:t>
      </w:r>
    </w:p>
    <w:p w:rsidR="004E2397" w:rsidRPr="003249CE" w:rsidRDefault="004E2397" w:rsidP="004E2397">
      <w:pPr>
        <w:spacing w:after="0" w:line="360" w:lineRule="auto"/>
        <w:jc w:val="both"/>
        <w:rPr>
          <w:rFonts w:ascii="Times New Roman" w:hAnsi="Times New Roman" w:cs="Times New Roman"/>
          <w:sz w:val="28"/>
          <w:szCs w:val="28"/>
        </w:rPr>
      </w:pPr>
      <w:r>
        <w:rPr>
          <w:noProof/>
          <w:lang w:eastAsia="ru-RU"/>
        </w:rPr>
        <w:drawing>
          <wp:inline distT="0" distB="0" distL="0" distR="0" wp14:anchorId="24EF313D" wp14:editId="397C03B9">
            <wp:extent cx="6001966" cy="3414408"/>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lastRenderedPageBreak/>
        <w:t>Оплата труда и начисления на нее в расходах консолидированного бюджета Чеченской Республики занимают 6,3% или 4 млрд. 887 млн. рублей, при этом исполнение составляет 97,8% от плана.</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По отношению к 2011 году доля заработной платы и начислений на нее в общем объеме расходов консолидированного бюджета Чеченской Республики уменьшилась. Такое существенное изменение в структуре бюджета по КОСГУ в части сокращение расходов на оплату труда и начислений на нее (-11,5%) и увеличение безвозмездных и безвозвратных перечислений организациям (+22,6%) объясняется изменением порядка финансирования бюджетной сети связанное с реализацией на территории республики Федерального закона 83-ФЗ от 8 мая 2010 года. Согласно положениям этого закона учреждения бюджетной сети, имеющие правовой статус «бюджетное учреждение» и «автономное учреждение», должны финансироваться в форме субсидий на реализацию государственного задания, в сумму которой входят и расходы на оплату труда. Субсидии, в свою очередь, отражаются по КОСГУ 241 «Безвозмездные и безвозвратные перечисления государственным и муниципальным организациям». В результате этого структура расходов бюджета, согласно принятой методике применения бюджетной классификации, изменилась настоящим образом.</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В прошедшем году заработная плата работников бюджетного сектора индексировалась следующим образом. Зарплата работникам бюджетной сферы оплачиваемых по ЕТС и работникам образования в нее не входящих была увеличена ставка базового оклада на 6%.  Государственным служащим и техперсоналу органов власти увеличение также составило 6%.</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Средняя расчетная заработная плата в Чеченской Республике по сектору государственного управления и бюджетному сектору </w:t>
      </w:r>
      <w:proofErr w:type="gramStart"/>
      <w:r w:rsidRPr="003249CE">
        <w:rPr>
          <w:rFonts w:ascii="Times New Roman" w:hAnsi="Times New Roman" w:cs="Times New Roman"/>
          <w:sz w:val="28"/>
          <w:szCs w:val="28"/>
        </w:rPr>
        <w:t>на конец</w:t>
      </w:r>
      <w:proofErr w:type="gramEnd"/>
      <w:r w:rsidRPr="003249CE">
        <w:rPr>
          <w:rFonts w:ascii="Times New Roman" w:hAnsi="Times New Roman" w:cs="Times New Roman"/>
          <w:sz w:val="28"/>
          <w:szCs w:val="28"/>
        </w:rPr>
        <w:t xml:space="preserve"> 2012 года составила 8 251 рубль. По данным </w:t>
      </w:r>
      <w:proofErr w:type="spellStart"/>
      <w:r w:rsidRPr="003249CE">
        <w:rPr>
          <w:rFonts w:ascii="Times New Roman" w:hAnsi="Times New Roman" w:cs="Times New Roman"/>
          <w:sz w:val="28"/>
          <w:szCs w:val="28"/>
        </w:rPr>
        <w:t>Чеченстата</w:t>
      </w:r>
      <w:proofErr w:type="spellEnd"/>
      <w:r w:rsidRPr="003249CE">
        <w:rPr>
          <w:rFonts w:ascii="Times New Roman" w:hAnsi="Times New Roman" w:cs="Times New Roman"/>
          <w:sz w:val="28"/>
          <w:szCs w:val="28"/>
        </w:rPr>
        <w:t>, средне</w:t>
      </w:r>
      <w:r w:rsidR="004F100C">
        <w:rPr>
          <w:rFonts w:ascii="Times New Roman" w:hAnsi="Times New Roman" w:cs="Times New Roman"/>
          <w:sz w:val="28"/>
          <w:szCs w:val="28"/>
        </w:rPr>
        <w:t>месячная</w:t>
      </w:r>
      <w:r w:rsidRPr="003249CE">
        <w:rPr>
          <w:rFonts w:ascii="Times New Roman" w:hAnsi="Times New Roman" w:cs="Times New Roman"/>
          <w:sz w:val="28"/>
          <w:szCs w:val="28"/>
        </w:rPr>
        <w:t xml:space="preserve"> заработн</w:t>
      </w:r>
      <w:r w:rsidR="004F100C">
        <w:rPr>
          <w:rFonts w:ascii="Times New Roman" w:hAnsi="Times New Roman" w:cs="Times New Roman"/>
          <w:sz w:val="28"/>
          <w:szCs w:val="28"/>
        </w:rPr>
        <w:t>ая</w:t>
      </w:r>
      <w:r w:rsidRPr="003249CE">
        <w:rPr>
          <w:rFonts w:ascii="Times New Roman" w:hAnsi="Times New Roman" w:cs="Times New Roman"/>
          <w:sz w:val="28"/>
          <w:szCs w:val="28"/>
        </w:rPr>
        <w:t xml:space="preserve"> плат</w:t>
      </w:r>
      <w:r w:rsidR="004F100C">
        <w:rPr>
          <w:rFonts w:ascii="Times New Roman" w:hAnsi="Times New Roman" w:cs="Times New Roman"/>
          <w:sz w:val="28"/>
          <w:szCs w:val="28"/>
        </w:rPr>
        <w:t xml:space="preserve">а работников организаций </w:t>
      </w:r>
      <w:r w:rsidRPr="003249CE">
        <w:rPr>
          <w:rFonts w:ascii="Times New Roman" w:hAnsi="Times New Roman" w:cs="Times New Roman"/>
          <w:sz w:val="28"/>
          <w:szCs w:val="28"/>
        </w:rPr>
        <w:t>республик</w:t>
      </w:r>
      <w:r w:rsidR="004F100C">
        <w:rPr>
          <w:rFonts w:ascii="Times New Roman" w:hAnsi="Times New Roman" w:cs="Times New Roman"/>
          <w:sz w:val="28"/>
          <w:szCs w:val="28"/>
        </w:rPr>
        <w:t>и</w:t>
      </w:r>
      <w:r w:rsidRPr="003249CE">
        <w:rPr>
          <w:rFonts w:ascii="Times New Roman" w:hAnsi="Times New Roman" w:cs="Times New Roman"/>
          <w:sz w:val="28"/>
          <w:szCs w:val="28"/>
        </w:rPr>
        <w:t xml:space="preserve"> составила 18 </w:t>
      </w:r>
      <w:r w:rsidR="004F100C">
        <w:rPr>
          <w:rFonts w:ascii="Times New Roman" w:hAnsi="Times New Roman" w:cs="Times New Roman"/>
          <w:sz w:val="28"/>
          <w:szCs w:val="28"/>
        </w:rPr>
        <w:t>728</w:t>
      </w:r>
      <w:r w:rsidRPr="003249CE">
        <w:rPr>
          <w:rFonts w:ascii="Times New Roman" w:hAnsi="Times New Roman" w:cs="Times New Roman"/>
          <w:sz w:val="28"/>
          <w:szCs w:val="28"/>
        </w:rPr>
        <w:t xml:space="preserve"> рублей. Очевидно, что вопросы реформирования методов формирования заработной платы требует совершенствования. В текущем году это работа </w:t>
      </w:r>
      <w:r w:rsidRPr="003249CE">
        <w:rPr>
          <w:rFonts w:ascii="Times New Roman" w:hAnsi="Times New Roman" w:cs="Times New Roman"/>
          <w:sz w:val="28"/>
          <w:szCs w:val="28"/>
        </w:rPr>
        <w:lastRenderedPageBreak/>
        <w:t>ведется в рамках реализации майских Указов Президента Российской Федерации.</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По отдельным сферам бюджетного сектора Чеченской Республики средняя расчетная заработная плата сложилась следующим образом:</w:t>
      </w:r>
    </w:p>
    <w:p w:rsidR="003249CE" w:rsidRPr="004F100C" w:rsidRDefault="003249CE" w:rsidP="004F100C">
      <w:pPr>
        <w:pStyle w:val="aa"/>
        <w:numPr>
          <w:ilvl w:val="0"/>
          <w:numId w:val="28"/>
        </w:numPr>
        <w:spacing w:after="0" w:line="360" w:lineRule="auto"/>
        <w:jc w:val="both"/>
        <w:rPr>
          <w:rFonts w:ascii="Times New Roman" w:hAnsi="Times New Roman" w:cs="Times New Roman"/>
          <w:sz w:val="28"/>
          <w:szCs w:val="28"/>
        </w:rPr>
      </w:pPr>
      <w:r w:rsidRPr="004F100C">
        <w:rPr>
          <w:rFonts w:ascii="Times New Roman" w:hAnsi="Times New Roman" w:cs="Times New Roman"/>
          <w:sz w:val="28"/>
          <w:szCs w:val="28"/>
        </w:rPr>
        <w:t>в органах управления – 23 249,2 рублей;</w:t>
      </w:r>
    </w:p>
    <w:p w:rsidR="003249CE" w:rsidRPr="004F100C" w:rsidRDefault="003249CE" w:rsidP="004F100C">
      <w:pPr>
        <w:pStyle w:val="aa"/>
        <w:numPr>
          <w:ilvl w:val="0"/>
          <w:numId w:val="28"/>
        </w:numPr>
        <w:spacing w:after="0" w:line="360" w:lineRule="auto"/>
        <w:jc w:val="both"/>
        <w:rPr>
          <w:rFonts w:ascii="Times New Roman" w:hAnsi="Times New Roman" w:cs="Times New Roman"/>
          <w:sz w:val="28"/>
          <w:szCs w:val="28"/>
        </w:rPr>
      </w:pPr>
      <w:r w:rsidRPr="004F100C">
        <w:rPr>
          <w:rFonts w:ascii="Times New Roman" w:hAnsi="Times New Roman" w:cs="Times New Roman"/>
          <w:sz w:val="28"/>
          <w:szCs w:val="28"/>
        </w:rPr>
        <w:t>в сфере национальной безопасности и правоохранительной деятельности – 13 415 рублей;</w:t>
      </w:r>
    </w:p>
    <w:p w:rsidR="003249CE" w:rsidRDefault="003249CE" w:rsidP="004F100C">
      <w:pPr>
        <w:pStyle w:val="aa"/>
        <w:numPr>
          <w:ilvl w:val="0"/>
          <w:numId w:val="28"/>
        </w:numPr>
        <w:spacing w:after="0" w:line="360" w:lineRule="auto"/>
        <w:jc w:val="both"/>
        <w:rPr>
          <w:rFonts w:ascii="Times New Roman" w:hAnsi="Times New Roman" w:cs="Times New Roman"/>
          <w:sz w:val="28"/>
          <w:szCs w:val="28"/>
        </w:rPr>
      </w:pPr>
      <w:r w:rsidRPr="004F100C">
        <w:rPr>
          <w:rFonts w:ascii="Times New Roman" w:hAnsi="Times New Roman" w:cs="Times New Roman"/>
          <w:sz w:val="28"/>
          <w:szCs w:val="28"/>
        </w:rPr>
        <w:t>в бюджетной сфере, с оплатой труда на основе ЕТС, – 6 005 рубля.</w:t>
      </w:r>
    </w:p>
    <w:p w:rsidR="004F100C" w:rsidRPr="004F100C" w:rsidRDefault="004F100C" w:rsidP="004F100C">
      <w:pPr>
        <w:pStyle w:val="aa"/>
        <w:spacing w:after="0" w:line="360" w:lineRule="auto"/>
        <w:ind w:left="0"/>
        <w:jc w:val="both"/>
        <w:rPr>
          <w:rFonts w:ascii="Times New Roman" w:hAnsi="Times New Roman" w:cs="Times New Roman"/>
          <w:sz w:val="28"/>
          <w:szCs w:val="28"/>
        </w:rPr>
      </w:pPr>
      <w:r>
        <w:rPr>
          <w:noProof/>
          <w:lang w:eastAsia="ru-RU"/>
        </w:rPr>
        <w:drawing>
          <wp:inline distT="0" distB="0" distL="0" distR="0" wp14:anchorId="16CFC45E" wp14:editId="3216C622">
            <wp:extent cx="6069026" cy="2929317"/>
            <wp:effectExtent l="0" t="0" r="8255" b="4445"/>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F100C" w:rsidRDefault="004F100C" w:rsidP="004F100C">
      <w:pPr>
        <w:spacing w:after="0" w:line="360" w:lineRule="auto"/>
        <w:jc w:val="both"/>
        <w:rPr>
          <w:rFonts w:ascii="Times New Roman" w:hAnsi="Times New Roman" w:cs="Times New Roman"/>
          <w:sz w:val="28"/>
          <w:szCs w:val="28"/>
        </w:rPr>
      </w:pPr>
      <w:r>
        <w:rPr>
          <w:noProof/>
          <w:lang w:eastAsia="ru-RU"/>
        </w:rPr>
        <w:drawing>
          <wp:inline distT="0" distB="0" distL="0" distR="0" wp14:anchorId="494335C9" wp14:editId="6D1D7B84">
            <wp:extent cx="6109486" cy="3228722"/>
            <wp:effectExtent l="0" t="0" r="5715"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lastRenderedPageBreak/>
        <w:t xml:space="preserve">Общая штатная численность бюджетного сектора </w:t>
      </w:r>
      <w:proofErr w:type="gramStart"/>
      <w:r w:rsidRPr="003249CE">
        <w:rPr>
          <w:rFonts w:ascii="Times New Roman" w:hAnsi="Times New Roman" w:cs="Times New Roman"/>
          <w:sz w:val="28"/>
          <w:szCs w:val="28"/>
        </w:rPr>
        <w:t>на конец</w:t>
      </w:r>
      <w:proofErr w:type="gramEnd"/>
      <w:r w:rsidRPr="003249CE">
        <w:rPr>
          <w:rFonts w:ascii="Times New Roman" w:hAnsi="Times New Roman" w:cs="Times New Roman"/>
          <w:sz w:val="28"/>
          <w:szCs w:val="28"/>
        </w:rPr>
        <w:t xml:space="preserve"> 2012 года составляет 118 654 единиц, из которых:</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сотрудники органов управления – 9 172 единиц;</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сотрудники сферы национальной безопасности </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и правоохранительной деятельности – 433 единиц;</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работники бюджетной сферы (с оплатой труда по ЕТС) – 106 799  единиц.</w:t>
      </w:r>
    </w:p>
    <w:p w:rsidR="004F100C"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По сравнению с прошлым годом штатная численность увеличилась на 0,5%, это связано с введением в эксплуатацию новых объектов бюджетной сферы и расширением базы уже функционирующих объектов в рамках социально-экономического развития Чеченской Республики.</w:t>
      </w:r>
    </w:p>
    <w:p w:rsid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 </w:t>
      </w:r>
    </w:p>
    <w:p w:rsidR="004F100C" w:rsidRPr="003249CE" w:rsidRDefault="004F100C" w:rsidP="004F100C">
      <w:pPr>
        <w:spacing w:after="0" w:line="360" w:lineRule="auto"/>
        <w:jc w:val="both"/>
        <w:rPr>
          <w:rFonts w:ascii="Times New Roman" w:hAnsi="Times New Roman" w:cs="Times New Roman"/>
          <w:sz w:val="28"/>
          <w:szCs w:val="28"/>
        </w:rPr>
      </w:pPr>
      <w:r>
        <w:rPr>
          <w:noProof/>
          <w:lang w:eastAsia="ru-RU"/>
        </w:rPr>
        <w:drawing>
          <wp:inline distT="0" distB="0" distL="0" distR="0" wp14:anchorId="031FB219" wp14:editId="5D6AADA3">
            <wp:extent cx="6109486" cy="3358195"/>
            <wp:effectExtent l="0" t="0" r="5715"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F100C" w:rsidRDefault="004F100C" w:rsidP="00980A70">
      <w:pPr>
        <w:spacing w:after="0" w:line="360" w:lineRule="auto"/>
        <w:ind w:firstLine="709"/>
        <w:jc w:val="both"/>
        <w:rPr>
          <w:rFonts w:ascii="Times New Roman" w:hAnsi="Times New Roman" w:cs="Times New Roman"/>
          <w:sz w:val="28"/>
          <w:szCs w:val="28"/>
        </w:rPr>
      </w:pP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 xml:space="preserve">В сфере деятельности последующего контроля министерство финансов Чеченской Республики проведена следующая работа. Контрольно-ревизионным департаментом министерства в 2012 году в рамках обеспечения контроля за экономным и эффективным расходованием денежных средств, выделенных из бюджетов всех уровней, проведено 615 ревизий (проверок) финансово-хозяйственной деятельности предприятий, организаций и </w:t>
      </w:r>
      <w:r w:rsidRPr="003249CE">
        <w:rPr>
          <w:rFonts w:ascii="Times New Roman" w:hAnsi="Times New Roman" w:cs="Times New Roman"/>
          <w:sz w:val="28"/>
          <w:szCs w:val="28"/>
        </w:rPr>
        <w:lastRenderedPageBreak/>
        <w:t>учреждений Чеченской Республики, в ходе которых выявлены нарушения действующего законодательства на общую сумму 586 млн. 698,6 тыс. рублей. Наиболее крупные из них составляют: необоснованное использование бюджетных средств – 306 млн. 753,3 тыс. рублей, излишки ТМЦ – 76 млн. 990,2 тыс. рублей и задолженность по заработной плате – 52 млн. 263,0 тыс. рублей.</w:t>
      </w:r>
    </w:p>
    <w:p w:rsidR="003249CE" w:rsidRPr="003249CE" w:rsidRDefault="003249CE" w:rsidP="00980A70">
      <w:pPr>
        <w:spacing w:after="0" w:line="360" w:lineRule="auto"/>
        <w:ind w:firstLine="709"/>
        <w:jc w:val="both"/>
        <w:rPr>
          <w:rFonts w:ascii="Times New Roman" w:hAnsi="Times New Roman" w:cs="Times New Roman"/>
          <w:sz w:val="28"/>
          <w:szCs w:val="28"/>
        </w:rPr>
      </w:pPr>
      <w:r w:rsidRPr="003249CE">
        <w:rPr>
          <w:rFonts w:ascii="Times New Roman" w:hAnsi="Times New Roman" w:cs="Times New Roman"/>
          <w:sz w:val="28"/>
          <w:szCs w:val="28"/>
        </w:rPr>
        <w:t>В ходе проведения контрольных мероприятий возмещено в кассу учреждений 483,2 тыс. рублей, погашена в ходе ревизии просроченная дебиторская задолженность – 311,2 тыс. рублей.</w:t>
      </w:r>
    </w:p>
    <w:p w:rsidR="002F61CA" w:rsidRDefault="003249CE" w:rsidP="00980A70">
      <w:pPr>
        <w:spacing w:after="0" w:line="360" w:lineRule="auto"/>
        <w:ind w:firstLine="709"/>
        <w:jc w:val="both"/>
        <w:rPr>
          <w:rFonts w:ascii="Times New Roman" w:hAnsi="Times New Roman" w:cs="Times New Roman"/>
          <w:sz w:val="28"/>
          <w:szCs w:val="28"/>
        </w:rPr>
      </w:pPr>
      <w:proofErr w:type="gramStart"/>
      <w:r w:rsidRPr="003249CE">
        <w:rPr>
          <w:rFonts w:ascii="Times New Roman" w:hAnsi="Times New Roman" w:cs="Times New Roman"/>
          <w:sz w:val="28"/>
          <w:szCs w:val="28"/>
        </w:rPr>
        <w:t>Из 615 проведенных ревизий (проверок) финансово-хозяйственной деятельности, в 45 случаях составлены и направлены руководителям проверенных предприятий, организаций и учреждений Чеченской Республики предписания об устранении нарушений в финансово-хозяйственной деятельности и представления об устранении нарушений, выявленных в ходе ревизии и соответственно копии направлены вышестоящим органам.</w:t>
      </w:r>
      <w:proofErr w:type="gramEnd"/>
    </w:p>
    <w:p w:rsidR="009C1D54" w:rsidRDefault="0050486B" w:rsidP="003249CE">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Бюджетный процесс является важным элементом обеспечения преемственности и устойчивого развития экономики государства. </w:t>
      </w:r>
      <w:r w:rsidR="00967D5A">
        <w:rPr>
          <w:rFonts w:ascii="Times New Roman" w:hAnsi="Times New Roman" w:cs="Times New Roman"/>
          <w:sz w:val="28"/>
          <w:szCs w:val="28"/>
        </w:rPr>
        <w:t xml:space="preserve">Являясь основным звеном перераспределения национального дохода, система государственных финансов должна обеспечить консолидацию финансовых ресурсов на наиболее важных направлениях социально-экономической сферы. </w:t>
      </w:r>
      <w:r>
        <w:rPr>
          <w:rFonts w:ascii="Times New Roman" w:hAnsi="Times New Roman" w:cs="Times New Roman"/>
          <w:sz w:val="28"/>
          <w:szCs w:val="28"/>
        </w:rPr>
        <w:t xml:space="preserve">В этой связи Министерство финансов Чеченской Республики прилагает все усилия для </w:t>
      </w:r>
      <w:r w:rsidR="00967D5A">
        <w:rPr>
          <w:rFonts w:ascii="Times New Roman" w:hAnsi="Times New Roman" w:cs="Times New Roman"/>
          <w:sz w:val="28"/>
          <w:szCs w:val="28"/>
        </w:rPr>
        <w:t xml:space="preserve">создания условий развития налогового потенциала республики, как важного условия </w:t>
      </w:r>
      <w:r w:rsidR="00CD1055">
        <w:rPr>
          <w:rFonts w:ascii="Times New Roman" w:hAnsi="Times New Roman" w:cs="Times New Roman"/>
          <w:sz w:val="28"/>
          <w:szCs w:val="28"/>
        </w:rPr>
        <w:t xml:space="preserve">ее </w:t>
      </w:r>
      <w:r w:rsidR="00967D5A">
        <w:rPr>
          <w:rFonts w:ascii="Times New Roman" w:hAnsi="Times New Roman" w:cs="Times New Roman"/>
          <w:sz w:val="28"/>
          <w:szCs w:val="28"/>
        </w:rPr>
        <w:t>финансо</w:t>
      </w:r>
      <w:r w:rsidR="00CD1055">
        <w:rPr>
          <w:rFonts w:ascii="Times New Roman" w:hAnsi="Times New Roman" w:cs="Times New Roman"/>
          <w:sz w:val="28"/>
          <w:szCs w:val="28"/>
        </w:rPr>
        <w:t>во</w:t>
      </w:r>
      <w:r w:rsidR="00967D5A">
        <w:rPr>
          <w:rFonts w:ascii="Times New Roman" w:hAnsi="Times New Roman" w:cs="Times New Roman"/>
          <w:sz w:val="28"/>
          <w:szCs w:val="28"/>
        </w:rPr>
        <w:t>й самодостаточности</w:t>
      </w:r>
      <w:r>
        <w:rPr>
          <w:rFonts w:ascii="Times New Roman" w:hAnsi="Times New Roman" w:cs="Times New Roman"/>
          <w:sz w:val="28"/>
          <w:szCs w:val="28"/>
        </w:rPr>
        <w:t xml:space="preserve">. </w:t>
      </w:r>
    </w:p>
    <w:p w:rsidR="008D5D14" w:rsidRDefault="008D5D14">
      <w:pPr>
        <w:rPr>
          <w:rFonts w:ascii="Times New Roman" w:hAnsi="Times New Roman" w:cs="Times New Roman"/>
          <w:sz w:val="28"/>
          <w:szCs w:val="28"/>
        </w:rPr>
      </w:pPr>
      <w:r>
        <w:rPr>
          <w:rFonts w:ascii="Times New Roman" w:hAnsi="Times New Roman" w:cs="Times New Roman"/>
          <w:sz w:val="28"/>
          <w:szCs w:val="28"/>
        </w:rPr>
        <w:br w:type="page"/>
      </w:r>
    </w:p>
    <w:p w:rsidR="008D5D14" w:rsidRPr="00A77C22" w:rsidRDefault="008D5D14" w:rsidP="008D5D14">
      <w:pPr>
        <w:jc w:val="center"/>
        <w:rPr>
          <w:rFonts w:ascii="Times New Roman" w:hAnsi="Times New Roman" w:cs="Times New Roman"/>
          <w:b/>
          <w:sz w:val="28"/>
          <w:szCs w:val="28"/>
        </w:rPr>
      </w:pPr>
      <w:r w:rsidRPr="00A77C22">
        <w:rPr>
          <w:rFonts w:ascii="Times New Roman" w:hAnsi="Times New Roman" w:cs="Times New Roman"/>
          <w:b/>
          <w:sz w:val="28"/>
          <w:szCs w:val="28"/>
        </w:rPr>
        <w:lastRenderedPageBreak/>
        <w:t>Видение развития налогового потенциала Чеченской республики</w:t>
      </w:r>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rPr>
        <w:tab/>
        <w:t>Структурно документ «Видение развитие налогового потенциала Чеченской республики», разработанный Министерством финансов Чеченской республики, включает:</w:t>
      </w:r>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lang w:val="en-US"/>
        </w:rPr>
        <w:t>I</w:t>
      </w:r>
      <w:r w:rsidRPr="00A77C22">
        <w:rPr>
          <w:rFonts w:ascii="Times New Roman" w:hAnsi="Times New Roman" w:cs="Times New Roman"/>
          <w:sz w:val="28"/>
          <w:szCs w:val="28"/>
        </w:rPr>
        <w:t>. Анализ уровня налогового потенциала Чеченской Республики;</w:t>
      </w:r>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lang w:val="en-US"/>
        </w:rPr>
        <w:t>II</w:t>
      </w:r>
      <w:r w:rsidRPr="00A77C22">
        <w:rPr>
          <w:rFonts w:ascii="Times New Roman" w:hAnsi="Times New Roman" w:cs="Times New Roman"/>
          <w:sz w:val="28"/>
          <w:szCs w:val="28"/>
        </w:rPr>
        <w:t>. Сценарии развития налогового потенциала Чеченской Республики;</w:t>
      </w:r>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lang w:val="en-US"/>
        </w:rPr>
        <w:t>III</w:t>
      </w:r>
      <w:r w:rsidRPr="00A77C22">
        <w:rPr>
          <w:rFonts w:ascii="Times New Roman" w:hAnsi="Times New Roman" w:cs="Times New Roman"/>
          <w:sz w:val="28"/>
          <w:szCs w:val="28"/>
        </w:rPr>
        <w:t>. Дорожная карта формирования параметров налогооблагаемой базы Чеченской Республики на среднесрочный период.</w:t>
      </w:r>
    </w:p>
    <w:p w:rsidR="008D5D14" w:rsidRPr="00A77C22" w:rsidRDefault="008D5D14" w:rsidP="006D0427">
      <w:pPr>
        <w:spacing w:line="360" w:lineRule="auto"/>
        <w:jc w:val="center"/>
        <w:rPr>
          <w:rFonts w:ascii="Times New Roman" w:hAnsi="Times New Roman" w:cs="Times New Roman"/>
          <w:b/>
          <w:sz w:val="28"/>
          <w:szCs w:val="28"/>
        </w:rPr>
      </w:pPr>
      <w:r w:rsidRPr="00A77C22">
        <w:rPr>
          <w:rFonts w:ascii="Times New Roman" w:hAnsi="Times New Roman" w:cs="Times New Roman"/>
          <w:b/>
          <w:sz w:val="28"/>
          <w:szCs w:val="28"/>
          <w:lang w:val="en-US"/>
        </w:rPr>
        <w:t>I</w:t>
      </w:r>
      <w:r w:rsidRPr="00A77C22">
        <w:rPr>
          <w:rFonts w:ascii="Times New Roman" w:hAnsi="Times New Roman" w:cs="Times New Roman"/>
          <w:b/>
          <w:sz w:val="28"/>
          <w:szCs w:val="28"/>
        </w:rPr>
        <w:t>. Анализ уровня налогового потенциала Чеченской Республики</w:t>
      </w:r>
    </w:p>
    <w:p w:rsidR="008D5D14" w:rsidRPr="00A77C22" w:rsidRDefault="008D5D14" w:rsidP="006D0427">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Региональный налоговый потенциал (далее, РНП) характеризуется обеспеченностью региона налогооблагаемыми ресурсами, определяемыми налоговыми базами. Величина РНП определяет размер доходов регионального бюджета и возможности осуществления региональной властью своих функций. РНП представляет собой  максимально возможную сумму поступлений налогов и сборов в условиях действующего налогового законодательства на территории региона. Показатель РНП может рассчитываться и как отношение максимально возможных сумм налоговых доходов бюджетной системы страны к валовому региональному продукту (ВРП). На основе анализа величины показателя РНП и его фактического уровня использования возможна выработка решений по оптимизации управления региональной экономикой.</w:t>
      </w:r>
    </w:p>
    <w:p w:rsidR="008D5D14" w:rsidRPr="00A77C22" w:rsidRDefault="008D5D14" w:rsidP="006D0427">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Консолидированный бюджет Чеченской республики за 2012 год, как за предыдущие годы десятилетнего периода, характеризуется крайне низким уровнем налоговых и неналоговых доходов. Между тем, нельзя не отметить сформировавшуюся динамику роста их доли в доходах консолидированного бюджета Чеченской республики. </w:t>
      </w:r>
    </w:p>
    <w:p w:rsidR="008D5D14" w:rsidRPr="00A77C22" w:rsidRDefault="008D5D14" w:rsidP="008D5D14">
      <w:pPr>
        <w:spacing w:line="360" w:lineRule="auto"/>
        <w:jc w:val="center"/>
        <w:outlineLvl w:val="0"/>
        <w:rPr>
          <w:rFonts w:ascii="Times New Roman" w:hAnsi="Times New Roman" w:cs="Times New Roman"/>
          <w:color w:val="000000"/>
          <w:sz w:val="28"/>
          <w:szCs w:val="28"/>
        </w:rPr>
      </w:pPr>
      <w:r w:rsidRPr="00A77C22">
        <w:rPr>
          <w:rFonts w:ascii="Times New Roman" w:hAnsi="Times New Roman" w:cs="Times New Roman"/>
          <w:b/>
          <w:color w:val="000000"/>
          <w:sz w:val="28"/>
          <w:szCs w:val="28"/>
        </w:rPr>
        <w:lastRenderedPageBreak/>
        <w:t>Рис 1. Динамика доли налоговых и неналоговых доходов в доходах консолидированного бюджета Чеченской республики за период 2004-2012 гг.</w:t>
      </w:r>
    </w:p>
    <w:p w:rsidR="008D5D14" w:rsidRPr="00755EC2" w:rsidRDefault="008D5D14" w:rsidP="008D5D14">
      <w:pPr>
        <w:spacing w:line="360" w:lineRule="auto"/>
        <w:jc w:val="center"/>
        <w:outlineLvl w:val="0"/>
        <w:rPr>
          <w:rFonts w:ascii="Times New Roman" w:hAnsi="Times New Roman" w:cs="Times New Roman"/>
          <w:b/>
          <w:color w:val="000000"/>
          <w:sz w:val="20"/>
          <w:szCs w:val="24"/>
        </w:rPr>
      </w:pPr>
      <w:r>
        <w:rPr>
          <w:rFonts w:ascii="Times New Roman" w:hAnsi="Times New Roman" w:cs="Times New Roman"/>
          <w:noProof/>
          <w:color w:val="000000"/>
          <w:sz w:val="24"/>
          <w:szCs w:val="24"/>
          <w:lang w:eastAsia="ru-RU"/>
        </w:rPr>
        <w:drawing>
          <wp:inline distT="0" distB="0" distL="0" distR="0" wp14:anchorId="172E01D6" wp14:editId="5B091FD2">
            <wp:extent cx="6067810" cy="1738945"/>
            <wp:effectExtent l="0" t="0" r="9525" b="1397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D5D14" w:rsidRPr="00A77C22" w:rsidRDefault="008D5D14" w:rsidP="008D5D14">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Об этом наглядно свидетельствует тренд, представленный на рис. №1. </w:t>
      </w:r>
      <w:r w:rsidRPr="00A77C22">
        <w:rPr>
          <w:rFonts w:ascii="Times New Roman" w:hAnsi="Times New Roman" w:cs="Times New Roman"/>
          <w:sz w:val="28"/>
          <w:szCs w:val="28"/>
        </w:rPr>
        <w:t>Так, если в 2004 году доля собственных доходов (налоговые и неналоговые доходы)  консолидированного бюджета Чеченской республики составляла всего 7,11 процентов, то в 2012 году эта доля выросла до 14,88 процентов (см. табл.№1).</w:t>
      </w:r>
    </w:p>
    <w:p w:rsidR="008D5D14" w:rsidRPr="00A77C22" w:rsidRDefault="008D5D14" w:rsidP="008D5D14">
      <w:pPr>
        <w:jc w:val="right"/>
        <w:rPr>
          <w:rFonts w:ascii="Times New Roman" w:hAnsi="Times New Roman" w:cs="Times New Roman"/>
          <w:sz w:val="28"/>
          <w:szCs w:val="28"/>
        </w:rPr>
      </w:pPr>
      <w:r w:rsidRPr="00A77C22">
        <w:rPr>
          <w:rFonts w:ascii="Times New Roman" w:hAnsi="Times New Roman" w:cs="Times New Roman"/>
          <w:sz w:val="28"/>
          <w:szCs w:val="28"/>
        </w:rPr>
        <w:t>Таблица №1</w:t>
      </w:r>
    </w:p>
    <w:p w:rsidR="008D5D14" w:rsidRPr="00A77C22" w:rsidRDefault="008D5D14" w:rsidP="008D5D14">
      <w:pPr>
        <w:jc w:val="center"/>
        <w:rPr>
          <w:rFonts w:ascii="Times New Roman" w:hAnsi="Times New Roman" w:cs="Times New Roman"/>
          <w:b/>
          <w:sz w:val="28"/>
          <w:szCs w:val="28"/>
        </w:rPr>
      </w:pPr>
      <w:r w:rsidRPr="00A77C22">
        <w:rPr>
          <w:rFonts w:ascii="Times New Roman" w:hAnsi="Times New Roman" w:cs="Times New Roman"/>
          <w:b/>
          <w:sz w:val="28"/>
          <w:szCs w:val="28"/>
        </w:rPr>
        <w:t>Динамика роста налоговых и неналоговых доходов консолидированного бюджета Чеченской республики за период 2004-2012 гг.*</w:t>
      </w:r>
    </w:p>
    <w:tbl>
      <w:tblPr>
        <w:tblStyle w:val="a9"/>
        <w:tblW w:w="10065" w:type="dxa"/>
        <w:tblInd w:w="-176" w:type="dxa"/>
        <w:tblLayout w:type="fixed"/>
        <w:tblLook w:val="04A0" w:firstRow="1" w:lastRow="0" w:firstColumn="1" w:lastColumn="0" w:noHBand="0" w:noVBand="1"/>
      </w:tblPr>
      <w:tblGrid>
        <w:gridCol w:w="1135"/>
        <w:gridCol w:w="881"/>
        <w:gridCol w:w="992"/>
        <w:gridCol w:w="992"/>
        <w:gridCol w:w="992"/>
        <w:gridCol w:w="993"/>
        <w:gridCol w:w="1103"/>
        <w:gridCol w:w="993"/>
        <w:gridCol w:w="992"/>
        <w:gridCol w:w="992"/>
      </w:tblGrid>
      <w:tr w:rsidR="008D5D14" w:rsidRPr="00E0041C" w:rsidTr="00E0041C">
        <w:trPr>
          <w:trHeight w:val="442"/>
        </w:trPr>
        <w:tc>
          <w:tcPr>
            <w:tcW w:w="1135"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Показатели</w:t>
            </w:r>
          </w:p>
          <w:p w:rsidR="008D5D14" w:rsidRPr="00E0041C" w:rsidRDefault="008D5D14" w:rsidP="008D5D14">
            <w:pPr>
              <w:jc w:val="both"/>
              <w:rPr>
                <w:rFonts w:ascii="Times New Roman" w:hAnsi="Times New Roman" w:cs="Times New Roman"/>
                <w:sz w:val="16"/>
              </w:rPr>
            </w:pPr>
          </w:p>
        </w:tc>
        <w:tc>
          <w:tcPr>
            <w:tcW w:w="881"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2004</w:t>
            </w:r>
          </w:p>
        </w:tc>
        <w:tc>
          <w:tcPr>
            <w:tcW w:w="992"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2005</w:t>
            </w:r>
          </w:p>
        </w:tc>
        <w:tc>
          <w:tcPr>
            <w:tcW w:w="992"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2006</w:t>
            </w:r>
          </w:p>
        </w:tc>
        <w:tc>
          <w:tcPr>
            <w:tcW w:w="992"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2007</w:t>
            </w:r>
          </w:p>
        </w:tc>
        <w:tc>
          <w:tcPr>
            <w:tcW w:w="99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2008</w:t>
            </w:r>
          </w:p>
        </w:tc>
        <w:tc>
          <w:tcPr>
            <w:tcW w:w="110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2009</w:t>
            </w:r>
          </w:p>
        </w:tc>
        <w:tc>
          <w:tcPr>
            <w:tcW w:w="99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2010</w:t>
            </w:r>
          </w:p>
        </w:tc>
        <w:tc>
          <w:tcPr>
            <w:tcW w:w="992"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2011</w:t>
            </w:r>
          </w:p>
        </w:tc>
        <w:tc>
          <w:tcPr>
            <w:tcW w:w="992"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2012</w:t>
            </w:r>
          </w:p>
        </w:tc>
      </w:tr>
      <w:tr w:rsidR="008D5D14" w:rsidRPr="00E0041C" w:rsidTr="00E0041C">
        <w:trPr>
          <w:trHeight w:val="670"/>
        </w:trPr>
        <w:tc>
          <w:tcPr>
            <w:tcW w:w="1135"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Доходы консолидированного бюджета ЧР, тыс. руб.</w:t>
            </w:r>
          </w:p>
        </w:tc>
        <w:tc>
          <w:tcPr>
            <w:tcW w:w="881"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25038037</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20929620,9</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31625051,9</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63565483,8</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64684032,1</w:t>
            </w:r>
          </w:p>
        </w:tc>
        <w:tc>
          <w:tcPr>
            <w:tcW w:w="110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65259447,8</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64882769,3</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78917147,6</w:t>
            </w:r>
          </w:p>
        </w:tc>
        <w:tc>
          <w:tcPr>
            <w:tcW w:w="992" w:type="dxa"/>
          </w:tcPr>
          <w:p w:rsidR="008D5D14" w:rsidRPr="00E0041C" w:rsidRDefault="008D5D14" w:rsidP="00E0041C">
            <w:pPr>
              <w:jc w:val="both"/>
              <w:rPr>
                <w:rFonts w:ascii="Times New Roman" w:hAnsi="Times New Roman" w:cs="Times New Roman"/>
                <w:sz w:val="16"/>
              </w:rPr>
            </w:pPr>
            <w:r w:rsidRPr="00E0041C">
              <w:rPr>
                <w:rFonts w:ascii="Times New Roman" w:hAnsi="Times New Roman" w:cs="Times New Roman"/>
                <w:sz w:val="16"/>
              </w:rPr>
              <w:t>78303356,2</w:t>
            </w:r>
          </w:p>
        </w:tc>
      </w:tr>
      <w:tr w:rsidR="008D5D14" w:rsidRPr="00E0041C" w:rsidTr="00E0041C">
        <w:trPr>
          <w:trHeight w:val="442"/>
        </w:trPr>
        <w:tc>
          <w:tcPr>
            <w:tcW w:w="1135" w:type="dxa"/>
          </w:tcPr>
          <w:p w:rsidR="008D5D14" w:rsidRPr="00E0041C" w:rsidRDefault="008D5D14" w:rsidP="008D5D14">
            <w:pPr>
              <w:rPr>
                <w:rFonts w:ascii="Times New Roman" w:hAnsi="Times New Roman" w:cs="Times New Roman"/>
                <w:sz w:val="16"/>
              </w:rPr>
            </w:pPr>
            <w:r w:rsidRPr="00E0041C">
              <w:rPr>
                <w:rFonts w:ascii="Times New Roman" w:hAnsi="Times New Roman" w:cs="Times New Roman"/>
                <w:sz w:val="16"/>
              </w:rPr>
              <w:t>Налоговые и неналоговые доходы</w:t>
            </w:r>
          </w:p>
        </w:tc>
        <w:tc>
          <w:tcPr>
            <w:tcW w:w="881"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1780973</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2063789,8</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3536039,0</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4685251,9</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6031319,6</w:t>
            </w:r>
          </w:p>
        </w:tc>
        <w:tc>
          <w:tcPr>
            <w:tcW w:w="110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6107443,1</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8689513,3</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10354369,1</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11650606,2</w:t>
            </w:r>
          </w:p>
        </w:tc>
      </w:tr>
      <w:tr w:rsidR="008D5D14" w:rsidRPr="00E0041C" w:rsidTr="00E0041C">
        <w:trPr>
          <w:trHeight w:val="442"/>
        </w:trPr>
        <w:tc>
          <w:tcPr>
            <w:tcW w:w="1135" w:type="dxa"/>
          </w:tcPr>
          <w:p w:rsidR="008D5D14" w:rsidRPr="00E0041C" w:rsidRDefault="008D5D14" w:rsidP="008D5D14">
            <w:pPr>
              <w:rPr>
                <w:rFonts w:ascii="Times New Roman" w:hAnsi="Times New Roman" w:cs="Times New Roman"/>
                <w:sz w:val="16"/>
              </w:rPr>
            </w:pPr>
            <w:r w:rsidRPr="00E0041C">
              <w:rPr>
                <w:rFonts w:ascii="Times New Roman" w:hAnsi="Times New Roman" w:cs="Times New Roman"/>
                <w:sz w:val="16"/>
              </w:rPr>
              <w:t>- налоговые доходы</w:t>
            </w:r>
          </w:p>
        </w:tc>
        <w:tc>
          <w:tcPr>
            <w:tcW w:w="881" w:type="dxa"/>
          </w:tcPr>
          <w:p w:rsidR="008D5D14" w:rsidRPr="00E0041C" w:rsidRDefault="008D5D14" w:rsidP="008D5D14">
            <w:pPr>
              <w:jc w:val="both"/>
              <w:rPr>
                <w:rFonts w:ascii="Times New Roman" w:hAnsi="Times New Roman" w:cs="Times New Roman"/>
                <w:bCs/>
                <w:sz w:val="16"/>
              </w:rPr>
            </w:pPr>
            <w:r w:rsidRPr="00E0041C">
              <w:rPr>
                <w:rFonts w:ascii="Times New Roman" w:hAnsi="Times New Roman" w:cs="Times New Roman"/>
                <w:bCs/>
                <w:sz w:val="16"/>
              </w:rPr>
              <w:t>1707175</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2061556,4</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3476724,1</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4463514,3</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5986823,6</w:t>
            </w:r>
          </w:p>
        </w:tc>
        <w:tc>
          <w:tcPr>
            <w:tcW w:w="110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5969989,0</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8453096,3</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9903529,0</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11261277,8</w:t>
            </w:r>
          </w:p>
        </w:tc>
      </w:tr>
      <w:tr w:rsidR="008D5D14" w:rsidRPr="00E0041C" w:rsidTr="00E0041C">
        <w:trPr>
          <w:trHeight w:val="442"/>
        </w:trPr>
        <w:tc>
          <w:tcPr>
            <w:tcW w:w="1135" w:type="dxa"/>
          </w:tcPr>
          <w:p w:rsidR="008D5D14" w:rsidRPr="00E0041C" w:rsidRDefault="008D5D14" w:rsidP="008D5D14">
            <w:pPr>
              <w:rPr>
                <w:rFonts w:ascii="Times New Roman" w:hAnsi="Times New Roman" w:cs="Times New Roman"/>
                <w:sz w:val="16"/>
              </w:rPr>
            </w:pPr>
            <w:r w:rsidRPr="00E0041C">
              <w:rPr>
                <w:rFonts w:ascii="Times New Roman" w:hAnsi="Times New Roman" w:cs="Times New Roman"/>
                <w:sz w:val="16"/>
              </w:rPr>
              <w:t>- неналоговые доходы</w:t>
            </w:r>
          </w:p>
        </w:tc>
        <w:tc>
          <w:tcPr>
            <w:tcW w:w="881" w:type="dxa"/>
          </w:tcPr>
          <w:p w:rsidR="008D5D14" w:rsidRPr="00E0041C" w:rsidRDefault="008D5D14" w:rsidP="008D5D14">
            <w:pPr>
              <w:jc w:val="both"/>
              <w:rPr>
                <w:rFonts w:ascii="Times New Roman" w:hAnsi="Times New Roman" w:cs="Times New Roman"/>
                <w:bCs/>
                <w:sz w:val="16"/>
              </w:rPr>
            </w:pPr>
            <w:r w:rsidRPr="00E0041C">
              <w:rPr>
                <w:rFonts w:ascii="Times New Roman" w:hAnsi="Times New Roman" w:cs="Times New Roman"/>
                <w:bCs/>
                <w:sz w:val="16"/>
              </w:rPr>
              <w:t>73800</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2233,4</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59314,9</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221737,6</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44496,0</w:t>
            </w:r>
          </w:p>
        </w:tc>
        <w:tc>
          <w:tcPr>
            <w:tcW w:w="110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137454,1</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236416,7</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450840,1</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389328,4</w:t>
            </w:r>
          </w:p>
        </w:tc>
      </w:tr>
      <w:tr w:rsidR="008D5D14" w:rsidRPr="00E0041C" w:rsidTr="00E0041C">
        <w:trPr>
          <w:trHeight w:val="655"/>
        </w:trPr>
        <w:tc>
          <w:tcPr>
            <w:tcW w:w="1135" w:type="dxa"/>
          </w:tcPr>
          <w:p w:rsidR="008D5D14" w:rsidRPr="00E0041C" w:rsidRDefault="008D5D14" w:rsidP="008D5D14">
            <w:pPr>
              <w:rPr>
                <w:rFonts w:ascii="Times New Roman" w:hAnsi="Times New Roman" w:cs="Times New Roman"/>
                <w:sz w:val="16"/>
              </w:rPr>
            </w:pPr>
            <w:r w:rsidRPr="00E0041C">
              <w:rPr>
                <w:rFonts w:ascii="Times New Roman" w:hAnsi="Times New Roman" w:cs="Times New Roman"/>
                <w:sz w:val="16"/>
              </w:rPr>
              <w:t xml:space="preserve">Безвозмездные поступления от других бюджетов БС РФ  </w:t>
            </w:r>
          </w:p>
        </w:tc>
        <w:tc>
          <w:tcPr>
            <w:tcW w:w="881"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23257062</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18865831,1</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28089012,9</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58880231,9</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58652712,4</w:t>
            </w:r>
          </w:p>
        </w:tc>
        <w:tc>
          <w:tcPr>
            <w:tcW w:w="110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59152004,7</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56143256,0</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68562778,6</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66652750,0</w:t>
            </w:r>
          </w:p>
        </w:tc>
      </w:tr>
      <w:tr w:rsidR="008D5D14" w:rsidRPr="00E0041C" w:rsidTr="00E0041C">
        <w:trPr>
          <w:trHeight w:val="685"/>
        </w:trPr>
        <w:tc>
          <w:tcPr>
            <w:tcW w:w="1135"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Доля налоговых и неналоговых доходов в консолидированном бюджете ЧР, %</w:t>
            </w:r>
          </w:p>
        </w:tc>
        <w:tc>
          <w:tcPr>
            <w:tcW w:w="881"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7,11</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9,86</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11,18</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7,37</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9,32</w:t>
            </w:r>
          </w:p>
        </w:tc>
        <w:tc>
          <w:tcPr>
            <w:tcW w:w="110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9,36</w:t>
            </w:r>
          </w:p>
        </w:tc>
        <w:tc>
          <w:tcPr>
            <w:tcW w:w="993"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13,39</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13,12</w:t>
            </w:r>
          </w:p>
        </w:tc>
        <w:tc>
          <w:tcPr>
            <w:tcW w:w="992"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14,88</w:t>
            </w:r>
          </w:p>
        </w:tc>
      </w:tr>
    </w:tbl>
    <w:p w:rsidR="008D5D14" w:rsidRPr="0057332A" w:rsidRDefault="008D5D14" w:rsidP="008D5D14">
      <w:pPr>
        <w:jc w:val="both"/>
        <w:rPr>
          <w:rFonts w:ascii="Times New Roman" w:hAnsi="Times New Roman" w:cs="Times New Roman"/>
          <w:sz w:val="20"/>
        </w:rPr>
      </w:pPr>
      <w:proofErr w:type="gramStart"/>
      <w:r w:rsidRPr="0057332A">
        <w:rPr>
          <w:rFonts w:ascii="Times New Roman" w:hAnsi="Times New Roman" w:cs="Times New Roman"/>
          <w:sz w:val="20"/>
        </w:rPr>
        <w:lastRenderedPageBreak/>
        <w:t xml:space="preserve">*) Рассчитано по данным, представленные в Формах «Отчет об исполнении доходной части консолидированного бюджета </w:t>
      </w:r>
      <w:r>
        <w:rPr>
          <w:rFonts w:ascii="Times New Roman" w:hAnsi="Times New Roman" w:cs="Times New Roman"/>
          <w:sz w:val="20"/>
        </w:rPr>
        <w:t>Чеченской Р</w:t>
      </w:r>
      <w:r w:rsidRPr="0057332A">
        <w:rPr>
          <w:rFonts w:ascii="Times New Roman" w:hAnsi="Times New Roman" w:cs="Times New Roman"/>
          <w:sz w:val="20"/>
        </w:rPr>
        <w:t xml:space="preserve">еспублики».  </w:t>
      </w:r>
      <w:proofErr w:type="gramEnd"/>
    </w:p>
    <w:p w:rsidR="008D5D14" w:rsidRPr="00A77C22" w:rsidRDefault="008D5D14" w:rsidP="008D5D14">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 xml:space="preserve">Наблюдаемое увеличение доли собственных доходов консолидированного бюджета Чеченской республики обеспечивалось преимущественно за счет налоговых поступлений (см. табл. 2). </w:t>
      </w:r>
    </w:p>
    <w:p w:rsidR="008D5D14" w:rsidRPr="003F7CFE" w:rsidRDefault="008D5D14" w:rsidP="008D5D14">
      <w:pPr>
        <w:spacing w:line="360" w:lineRule="auto"/>
        <w:jc w:val="right"/>
        <w:outlineLvl w:val="0"/>
        <w:rPr>
          <w:rFonts w:ascii="Times New Roman" w:hAnsi="Times New Roman" w:cs="Times New Roman"/>
          <w:color w:val="000000"/>
          <w:sz w:val="20"/>
          <w:szCs w:val="24"/>
        </w:rPr>
      </w:pPr>
      <w:r w:rsidRPr="003F7CFE">
        <w:rPr>
          <w:rFonts w:ascii="Times New Roman" w:hAnsi="Times New Roman" w:cs="Times New Roman"/>
          <w:color w:val="000000"/>
          <w:sz w:val="20"/>
          <w:szCs w:val="24"/>
        </w:rPr>
        <w:t>Таблица №2</w:t>
      </w:r>
    </w:p>
    <w:p w:rsidR="008D5D14" w:rsidRPr="003F7CFE" w:rsidRDefault="008D5D14" w:rsidP="008D5D14">
      <w:pPr>
        <w:spacing w:line="360" w:lineRule="auto"/>
        <w:jc w:val="center"/>
        <w:outlineLvl w:val="0"/>
        <w:rPr>
          <w:rFonts w:ascii="Times New Roman" w:hAnsi="Times New Roman" w:cs="Times New Roman"/>
          <w:b/>
          <w:color w:val="000000"/>
          <w:sz w:val="20"/>
          <w:szCs w:val="24"/>
        </w:rPr>
      </w:pPr>
      <w:r w:rsidRPr="003F7CFE">
        <w:rPr>
          <w:rFonts w:ascii="Times New Roman" w:hAnsi="Times New Roman" w:cs="Times New Roman"/>
          <w:b/>
          <w:color w:val="000000"/>
          <w:sz w:val="20"/>
          <w:szCs w:val="24"/>
        </w:rPr>
        <w:t xml:space="preserve">Соотношение налоговых и неналоговых доходов консолидированного бюджета ЧР в 2004-2012 гг.* </w:t>
      </w:r>
    </w:p>
    <w:tbl>
      <w:tblPr>
        <w:tblStyle w:val="a9"/>
        <w:tblW w:w="10065" w:type="dxa"/>
        <w:tblInd w:w="-176" w:type="dxa"/>
        <w:tblLayout w:type="fixed"/>
        <w:tblLook w:val="04A0" w:firstRow="1" w:lastRow="0" w:firstColumn="1" w:lastColumn="0" w:noHBand="0" w:noVBand="1"/>
      </w:tblPr>
      <w:tblGrid>
        <w:gridCol w:w="1135"/>
        <w:gridCol w:w="992"/>
        <w:gridCol w:w="993"/>
        <w:gridCol w:w="992"/>
        <w:gridCol w:w="992"/>
        <w:gridCol w:w="992"/>
        <w:gridCol w:w="993"/>
        <w:gridCol w:w="992"/>
        <w:gridCol w:w="992"/>
        <w:gridCol w:w="992"/>
      </w:tblGrid>
      <w:tr w:rsidR="008D5D14" w:rsidRPr="003F7CFE" w:rsidTr="00E0041C">
        <w:trPr>
          <w:trHeight w:val="442"/>
        </w:trPr>
        <w:tc>
          <w:tcPr>
            <w:tcW w:w="1135"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Показатели</w:t>
            </w:r>
          </w:p>
          <w:p w:rsidR="008D5D14" w:rsidRPr="003F7CFE" w:rsidRDefault="008D5D14" w:rsidP="008D5D14">
            <w:pPr>
              <w:jc w:val="both"/>
              <w:rPr>
                <w:rFonts w:ascii="Times New Roman" w:hAnsi="Times New Roman" w:cs="Times New Roman"/>
                <w:sz w:val="16"/>
              </w:rPr>
            </w:pP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2004</w:t>
            </w:r>
          </w:p>
        </w:tc>
        <w:tc>
          <w:tcPr>
            <w:tcW w:w="993"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2005</w:t>
            </w: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2006</w:t>
            </w: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2007</w:t>
            </w: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2008</w:t>
            </w:r>
          </w:p>
        </w:tc>
        <w:tc>
          <w:tcPr>
            <w:tcW w:w="993"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2009</w:t>
            </w: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2010</w:t>
            </w: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2011</w:t>
            </w:r>
          </w:p>
        </w:tc>
        <w:tc>
          <w:tcPr>
            <w:tcW w:w="992" w:type="dxa"/>
          </w:tcPr>
          <w:p w:rsidR="008D5D14" w:rsidRPr="003F7CFE" w:rsidRDefault="008D5D14" w:rsidP="008D5D14">
            <w:pPr>
              <w:jc w:val="center"/>
              <w:rPr>
                <w:rFonts w:ascii="Times New Roman" w:hAnsi="Times New Roman" w:cs="Times New Roman"/>
                <w:b/>
                <w:sz w:val="16"/>
              </w:rPr>
            </w:pPr>
            <w:r w:rsidRPr="003F7CFE">
              <w:rPr>
                <w:rFonts w:ascii="Times New Roman" w:hAnsi="Times New Roman" w:cs="Times New Roman"/>
                <w:b/>
                <w:sz w:val="16"/>
              </w:rPr>
              <w:t>2012</w:t>
            </w:r>
          </w:p>
        </w:tc>
      </w:tr>
      <w:tr w:rsidR="008D5D14" w:rsidRPr="003F7CFE" w:rsidTr="00E0041C">
        <w:trPr>
          <w:trHeight w:val="442"/>
        </w:trPr>
        <w:tc>
          <w:tcPr>
            <w:tcW w:w="1135" w:type="dxa"/>
          </w:tcPr>
          <w:p w:rsidR="008D5D14" w:rsidRPr="003F7CFE" w:rsidRDefault="008D5D14" w:rsidP="008D5D14">
            <w:pPr>
              <w:rPr>
                <w:rFonts w:ascii="Times New Roman" w:hAnsi="Times New Roman" w:cs="Times New Roman"/>
                <w:sz w:val="16"/>
              </w:rPr>
            </w:pPr>
            <w:r w:rsidRPr="003F7CFE">
              <w:rPr>
                <w:rFonts w:ascii="Times New Roman" w:hAnsi="Times New Roman" w:cs="Times New Roman"/>
                <w:sz w:val="16"/>
              </w:rPr>
              <w:t>Налоговые и неналоговые доходы, тыс. руб.</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1780973,0</w:t>
            </w:r>
          </w:p>
        </w:tc>
        <w:tc>
          <w:tcPr>
            <w:tcW w:w="993"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2063789,8</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3536039,0</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4685251,9</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6031319,6</w:t>
            </w:r>
          </w:p>
        </w:tc>
        <w:tc>
          <w:tcPr>
            <w:tcW w:w="993"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6107443,1</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8689513,3</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10354369,1</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11650606,2</w:t>
            </w:r>
          </w:p>
        </w:tc>
      </w:tr>
      <w:tr w:rsidR="008D5D14" w:rsidRPr="003F7CFE" w:rsidTr="00E0041C">
        <w:trPr>
          <w:trHeight w:val="442"/>
        </w:trPr>
        <w:tc>
          <w:tcPr>
            <w:tcW w:w="1135" w:type="dxa"/>
          </w:tcPr>
          <w:p w:rsidR="008D5D14" w:rsidRPr="003F7CFE" w:rsidRDefault="008D5D14" w:rsidP="008D5D14">
            <w:pPr>
              <w:rPr>
                <w:rFonts w:ascii="Times New Roman" w:hAnsi="Times New Roman" w:cs="Times New Roman"/>
                <w:sz w:val="16"/>
              </w:rPr>
            </w:pPr>
            <w:r w:rsidRPr="003F7CFE">
              <w:rPr>
                <w:rFonts w:ascii="Times New Roman" w:hAnsi="Times New Roman" w:cs="Times New Roman"/>
                <w:sz w:val="16"/>
              </w:rPr>
              <w:t>- налоговые доходы, тыс. руб.</w:t>
            </w:r>
          </w:p>
        </w:tc>
        <w:tc>
          <w:tcPr>
            <w:tcW w:w="992" w:type="dxa"/>
          </w:tcPr>
          <w:p w:rsidR="008D5D14" w:rsidRPr="003F7CFE" w:rsidRDefault="008D5D14" w:rsidP="008D5D14">
            <w:pPr>
              <w:jc w:val="both"/>
              <w:rPr>
                <w:rFonts w:ascii="Times New Roman" w:hAnsi="Times New Roman" w:cs="Times New Roman"/>
                <w:bCs/>
                <w:sz w:val="16"/>
              </w:rPr>
            </w:pPr>
            <w:r w:rsidRPr="003F7CFE">
              <w:rPr>
                <w:rFonts w:ascii="Times New Roman" w:hAnsi="Times New Roman" w:cs="Times New Roman"/>
                <w:bCs/>
                <w:sz w:val="16"/>
              </w:rPr>
              <w:t>1707175,0</w:t>
            </w:r>
          </w:p>
        </w:tc>
        <w:tc>
          <w:tcPr>
            <w:tcW w:w="993"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2061556,4</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3476724,1</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4463514,3</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5986823,6</w:t>
            </w:r>
          </w:p>
        </w:tc>
        <w:tc>
          <w:tcPr>
            <w:tcW w:w="993"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5969989,0</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8453096,3</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9903529,0</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11261277,8</w:t>
            </w:r>
          </w:p>
        </w:tc>
      </w:tr>
      <w:tr w:rsidR="008D5D14" w:rsidRPr="003F7CFE" w:rsidTr="00E0041C">
        <w:trPr>
          <w:trHeight w:val="442"/>
        </w:trPr>
        <w:tc>
          <w:tcPr>
            <w:tcW w:w="1135" w:type="dxa"/>
          </w:tcPr>
          <w:p w:rsidR="008D5D14" w:rsidRPr="003F7CFE" w:rsidRDefault="008D5D14" w:rsidP="008D5D14">
            <w:pPr>
              <w:rPr>
                <w:rFonts w:ascii="Times New Roman" w:hAnsi="Times New Roman" w:cs="Times New Roman"/>
                <w:sz w:val="16"/>
              </w:rPr>
            </w:pPr>
            <w:r w:rsidRPr="003F7CFE">
              <w:rPr>
                <w:rFonts w:ascii="Times New Roman" w:hAnsi="Times New Roman" w:cs="Times New Roman"/>
                <w:sz w:val="16"/>
              </w:rPr>
              <w:t>- неналоговые доходы, тыс. руб.</w:t>
            </w:r>
          </w:p>
        </w:tc>
        <w:tc>
          <w:tcPr>
            <w:tcW w:w="992" w:type="dxa"/>
          </w:tcPr>
          <w:p w:rsidR="008D5D14" w:rsidRPr="003F7CFE" w:rsidRDefault="008D5D14" w:rsidP="008D5D14">
            <w:pPr>
              <w:jc w:val="both"/>
              <w:rPr>
                <w:rFonts w:ascii="Times New Roman" w:hAnsi="Times New Roman" w:cs="Times New Roman"/>
                <w:bCs/>
                <w:sz w:val="16"/>
              </w:rPr>
            </w:pPr>
            <w:r w:rsidRPr="003F7CFE">
              <w:rPr>
                <w:rFonts w:ascii="Times New Roman" w:hAnsi="Times New Roman" w:cs="Times New Roman"/>
                <w:bCs/>
                <w:sz w:val="16"/>
              </w:rPr>
              <w:t>73800</w:t>
            </w:r>
          </w:p>
        </w:tc>
        <w:tc>
          <w:tcPr>
            <w:tcW w:w="993"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2233,4</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59314,9</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221737,6</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44496,0</w:t>
            </w:r>
          </w:p>
        </w:tc>
        <w:tc>
          <w:tcPr>
            <w:tcW w:w="993"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137454,1</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236416,7</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450840,1</w:t>
            </w:r>
          </w:p>
        </w:tc>
        <w:tc>
          <w:tcPr>
            <w:tcW w:w="992" w:type="dxa"/>
          </w:tcPr>
          <w:p w:rsidR="008D5D14" w:rsidRPr="003F7CFE" w:rsidRDefault="008D5D14" w:rsidP="008D5D14">
            <w:pPr>
              <w:jc w:val="both"/>
              <w:rPr>
                <w:rFonts w:ascii="Times New Roman" w:hAnsi="Times New Roman" w:cs="Times New Roman"/>
                <w:sz w:val="16"/>
              </w:rPr>
            </w:pPr>
            <w:r w:rsidRPr="003F7CFE">
              <w:rPr>
                <w:rFonts w:ascii="Times New Roman" w:hAnsi="Times New Roman" w:cs="Times New Roman"/>
                <w:sz w:val="16"/>
              </w:rPr>
              <w:t>389328,4</w:t>
            </w:r>
          </w:p>
        </w:tc>
      </w:tr>
      <w:tr w:rsidR="008D5D14" w:rsidRPr="003F7CFE" w:rsidTr="00E0041C">
        <w:trPr>
          <w:trHeight w:val="655"/>
        </w:trPr>
        <w:tc>
          <w:tcPr>
            <w:tcW w:w="1135" w:type="dxa"/>
          </w:tcPr>
          <w:p w:rsidR="008D5D14" w:rsidRPr="003F7CFE" w:rsidRDefault="008D5D14" w:rsidP="008D5D14">
            <w:pPr>
              <w:rPr>
                <w:rFonts w:ascii="Times New Roman" w:hAnsi="Times New Roman" w:cs="Times New Roman"/>
                <w:b/>
                <w:sz w:val="16"/>
              </w:rPr>
            </w:pPr>
            <w:r w:rsidRPr="003F7CFE">
              <w:rPr>
                <w:rFonts w:ascii="Times New Roman" w:hAnsi="Times New Roman" w:cs="Times New Roman"/>
                <w:b/>
                <w:sz w:val="16"/>
              </w:rPr>
              <w:t>Соотношение налоговых и неналоговых доходов консолидированного бюджета ЧР</w:t>
            </w:r>
          </w:p>
        </w:tc>
        <w:tc>
          <w:tcPr>
            <w:tcW w:w="992" w:type="dxa"/>
          </w:tcPr>
          <w:p w:rsidR="008D5D14" w:rsidRPr="003F7CFE" w:rsidRDefault="008D5D14" w:rsidP="008D5D14">
            <w:pPr>
              <w:jc w:val="both"/>
              <w:rPr>
                <w:rFonts w:ascii="Times New Roman" w:hAnsi="Times New Roman" w:cs="Times New Roman"/>
                <w:b/>
                <w:sz w:val="16"/>
              </w:rPr>
            </w:pPr>
            <w:r w:rsidRPr="003F7CFE">
              <w:rPr>
                <w:rFonts w:ascii="Times New Roman" w:hAnsi="Times New Roman" w:cs="Times New Roman"/>
                <w:b/>
                <w:sz w:val="16"/>
              </w:rPr>
              <w:t>23:1</w:t>
            </w:r>
          </w:p>
        </w:tc>
        <w:tc>
          <w:tcPr>
            <w:tcW w:w="993"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3"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8D5D14" w:rsidRPr="003F7CFE" w:rsidRDefault="008D5D14" w:rsidP="008D5D14">
            <w:pPr>
              <w:jc w:val="center"/>
              <w:rPr>
                <w:rFonts w:ascii="Times New Roman" w:hAnsi="Times New Roman" w:cs="Times New Roman"/>
                <w:sz w:val="16"/>
              </w:rPr>
            </w:pPr>
            <w:r w:rsidRPr="003F7CFE">
              <w:rPr>
                <w:rFonts w:ascii="Times New Roman" w:hAnsi="Times New Roman" w:cs="Times New Roman"/>
                <w:sz w:val="16"/>
              </w:rPr>
              <w:t>х</w:t>
            </w:r>
          </w:p>
        </w:tc>
        <w:tc>
          <w:tcPr>
            <w:tcW w:w="992" w:type="dxa"/>
          </w:tcPr>
          <w:p w:rsidR="008D5D14" w:rsidRPr="003F7CFE" w:rsidRDefault="008D5D14" w:rsidP="008D5D14">
            <w:pPr>
              <w:jc w:val="both"/>
              <w:rPr>
                <w:rFonts w:ascii="Times New Roman" w:hAnsi="Times New Roman" w:cs="Times New Roman"/>
                <w:b/>
                <w:sz w:val="16"/>
              </w:rPr>
            </w:pPr>
            <w:r w:rsidRPr="003F7CFE">
              <w:rPr>
                <w:rFonts w:ascii="Times New Roman" w:hAnsi="Times New Roman" w:cs="Times New Roman"/>
                <w:b/>
                <w:sz w:val="16"/>
              </w:rPr>
              <w:t>29:1</w:t>
            </w:r>
          </w:p>
        </w:tc>
      </w:tr>
    </w:tbl>
    <w:p w:rsidR="008D5D14" w:rsidRPr="00E01741" w:rsidRDefault="008D5D14" w:rsidP="008D5D14">
      <w:pPr>
        <w:spacing w:line="360" w:lineRule="auto"/>
        <w:jc w:val="both"/>
        <w:outlineLvl w:val="0"/>
        <w:rPr>
          <w:rFonts w:ascii="Times New Roman" w:hAnsi="Times New Roman" w:cs="Times New Roman"/>
          <w:sz w:val="18"/>
        </w:rPr>
      </w:pPr>
      <w:proofErr w:type="gramStart"/>
      <w:r w:rsidRPr="00E01741">
        <w:rPr>
          <w:rFonts w:ascii="Times New Roman" w:hAnsi="Times New Roman" w:cs="Times New Roman"/>
          <w:color w:val="000000"/>
          <w:sz w:val="18"/>
          <w:szCs w:val="24"/>
        </w:rPr>
        <w:t xml:space="preserve">*) Рассчитано по данным, </w:t>
      </w:r>
      <w:r w:rsidRPr="00E01741">
        <w:rPr>
          <w:rFonts w:ascii="Times New Roman" w:hAnsi="Times New Roman" w:cs="Times New Roman"/>
          <w:sz w:val="18"/>
        </w:rPr>
        <w:t xml:space="preserve">представленные в Формах «Отчет об исполнении доходной части консолидированного бюджета Чеченской Республики».  </w:t>
      </w:r>
      <w:proofErr w:type="gramEnd"/>
    </w:p>
    <w:p w:rsidR="008D5D14" w:rsidRPr="00A77C22" w:rsidRDefault="006D0427" w:rsidP="006D0427">
      <w:pPr>
        <w:spacing w:line="360" w:lineRule="auto"/>
        <w:jc w:val="both"/>
        <w:outlineLvl w:val="0"/>
        <w:rPr>
          <w:rFonts w:ascii="Times New Roman" w:hAnsi="Times New Roman" w:cs="Times New Roman"/>
          <w:sz w:val="28"/>
          <w:szCs w:val="28"/>
        </w:rPr>
      </w:pPr>
      <w:r w:rsidRPr="00A77C22">
        <w:rPr>
          <w:rFonts w:ascii="Times New Roman" w:hAnsi="Times New Roman" w:cs="Times New Roman"/>
          <w:color w:val="000000"/>
          <w:sz w:val="28"/>
          <w:szCs w:val="28"/>
        </w:rPr>
        <w:tab/>
      </w:r>
      <w:r w:rsidR="008D5D14" w:rsidRPr="00A77C22">
        <w:rPr>
          <w:rFonts w:ascii="Times New Roman" w:hAnsi="Times New Roman" w:cs="Times New Roman"/>
          <w:color w:val="000000"/>
          <w:sz w:val="28"/>
          <w:szCs w:val="28"/>
        </w:rPr>
        <w:t>Так, если в 2004 году соотношение налоговых и неналоговых доходов консолидированного бюджета Чеченской республики составляло 23:1, то уже в 2012 году  это соотношение составило уже  29:1.</w:t>
      </w:r>
    </w:p>
    <w:p w:rsidR="008D5D14" w:rsidRPr="00A77C22" w:rsidRDefault="008D5D14" w:rsidP="006D0427">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Налоговые поступления в консолидированный бюджет Чеченской республики за рассматриваемый период (2004-2012 гг.) выросли с 1</w:t>
      </w:r>
      <w:r w:rsidR="00C56334">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707</w:t>
      </w:r>
      <w:r w:rsidR="00C56334">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175 тыс. руб.  до 11</w:t>
      </w:r>
      <w:r w:rsidR="00C56334">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261</w:t>
      </w:r>
      <w:r w:rsidR="00C56334">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277,8 тыс. руб. или 6,6 раза, а неналоговые доходы выросли с 73</w:t>
      </w:r>
      <w:r w:rsidR="00015E63">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800,0 тыс. руб. до 389328,4 тыс. руб. или в 5,3 раза.</w:t>
      </w:r>
    </w:p>
    <w:p w:rsidR="008D5D14" w:rsidRPr="00A77C22" w:rsidRDefault="008D5D14" w:rsidP="006D0427">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Наибольшая доля в налоговых доходах консолидированного бюджета Чеченской республики за рассматриваемый период приходилась на налоги на прибыль, доходы (включающий в себя  налоги на прибыль и налоги на доходы физических лиц) и акцизы (</w:t>
      </w:r>
      <w:r w:rsidRPr="00A77C22">
        <w:rPr>
          <w:rFonts w:ascii="Times New Roman" w:hAnsi="Times New Roman" w:cs="Times New Roman"/>
          <w:sz w:val="28"/>
          <w:szCs w:val="28"/>
        </w:rPr>
        <w:t>налоги на товары (работы и услуги), реализуемые на территории РФ), что подтверждается данными таблицы №3.</w:t>
      </w:r>
      <w:r w:rsidRPr="00A77C22">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lastRenderedPageBreak/>
        <w:t>Их доля в налоговых доходах консолидированного бюджета Чеченской республики за период  2004-2012 гг. колебалась от 77,7%  до 95,3%.</w:t>
      </w:r>
    </w:p>
    <w:p w:rsidR="008D5D14" w:rsidRPr="00A77C22" w:rsidRDefault="008D5D14" w:rsidP="008D5D14">
      <w:pPr>
        <w:jc w:val="right"/>
        <w:rPr>
          <w:rFonts w:ascii="Times New Roman" w:hAnsi="Times New Roman" w:cs="Times New Roman"/>
          <w:sz w:val="28"/>
          <w:szCs w:val="28"/>
        </w:rPr>
      </w:pPr>
      <w:r w:rsidRPr="00A77C22">
        <w:rPr>
          <w:rFonts w:ascii="Times New Roman" w:hAnsi="Times New Roman" w:cs="Times New Roman"/>
          <w:sz w:val="28"/>
          <w:szCs w:val="28"/>
        </w:rPr>
        <w:t>Таблица № 3</w:t>
      </w:r>
    </w:p>
    <w:p w:rsidR="008D5D14" w:rsidRPr="00A77C22" w:rsidRDefault="008D5D14" w:rsidP="008D5D14">
      <w:pPr>
        <w:jc w:val="center"/>
        <w:rPr>
          <w:rFonts w:ascii="Times New Roman" w:hAnsi="Times New Roman" w:cs="Times New Roman"/>
          <w:b/>
          <w:sz w:val="28"/>
          <w:szCs w:val="28"/>
        </w:rPr>
      </w:pPr>
      <w:r w:rsidRPr="00A77C22">
        <w:rPr>
          <w:rFonts w:ascii="Times New Roman" w:hAnsi="Times New Roman" w:cs="Times New Roman"/>
          <w:b/>
          <w:sz w:val="28"/>
          <w:szCs w:val="28"/>
        </w:rPr>
        <w:t>Динамика структуры налоговых поступлений в консолидированный бюджет Чеченской республики за период 2004-2012гг.*</w:t>
      </w:r>
    </w:p>
    <w:tbl>
      <w:tblPr>
        <w:tblStyle w:val="a9"/>
        <w:tblW w:w="0" w:type="auto"/>
        <w:tblInd w:w="108" w:type="dxa"/>
        <w:tblLayout w:type="fixed"/>
        <w:tblLook w:val="04A0" w:firstRow="1" w:lastRow="0" w:firstColumn="1" w:lastColumn="0" w:noHBand="0" w:noVBand="1"/>
      </w:tblPr>
      <w:tblGrid>
        <w:gridCol w:w="1985"/>
        <w:gridCol w:w="819"/>
        <w:gridCol w:w="819"/>
        <w:gridCol w:w="819"/>
        <w:gridCol w:w="819"/>
        <w:gridCol w:w="819"/>
        <w:gridCol w:w="819"/>
        <w:gridCol w:w="819"/>
        <w:gridCol w:w="819"/>
        <w:gridCol w:w="819"/>
      </w:tblGrid>
      <w:tr w:rsidR="008D5D14" w:rsidRPr="00E0041C" w:rsidTr="008D5D14">
        <w:tc>
          <w:tcPr>
            <w:tcW w:w="1985"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Показатели</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2004</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2005</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2006</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2007</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2008</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2009</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2010</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2011</w:t>
            </w:r>
          </w:p>
        </w:tc>
        <w:tc>
          <w:tcPr>
            <w:tcW w:w="81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2012</w:t>
            </w:r>
          </w:p>
        </w:tc>
      </w:tr>
      <w:tr w:rsidR="008D5D14" w:rsidRPr="00E0041C" w:rsidTr="00E0041C">
        <w:tc>
          <w:tcPr>
            <w:tcW w:w="1985"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Налоговые доходы консолидированного бюджета ЧР, млн. руб.</w:t>
            </w:r>
          </w:p>
        </w:tc>
        <w:tc>
          <w:tcPr>
            <w:tcW w:w="819" w:type="dxa"/>
            <w:vAlign w:val="center"/>
          </w:tcPr>
          <w:p w:rsidR="008D5D14" w:rsidRPr="00E0041C" w:rsidRDefault="008D5D14" w:rsidP="00E0041C">
            <w:pPr>
              <w:jc w:val="center"/>
              <w:rPr>
                <w:rFonts w:ascii="Times New Roman" w:hAnsi="Times New Roman" w:cs="Times New Roman"/>
                <w:b/>
                <w:bCs/>
                <w:sz w:val="16"/>
              </w:rPr>
            </w:pPr>
            <w:r w:rsidRPr="00E0041C">
              <w:rPr>
                <w:rFonts w:ascii="Times New Roman" w:hAnsi="Times New Roman" w:cs="Times New Roman"/>
                <w:b/>
                <w:bCs/>
                <w:sz w:val="16"/>
              </w:rPr>
              <w:t>1707,2</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2061, 6</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3476,7</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4463,5</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5986,8</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5970,0</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8453, 1</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9903,5</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11261,3</w:t>
            </w:r>
          </w:p>
        </w:tc>
      </w:tr>
      <w:tr w:rsidR="008D5D14" w:rsidRPr="00E0041C" w:rsidTr="00E0041C">
        <w:tc>
          <w:tcPr>
            <w:tcW w:w="1985"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Налоги на прибыль, доходы,         млн. руб.</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1209,9</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1746,2</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2921,1</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3909,0</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4867,3</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5359,0</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5689,7</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6875,8</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7793,7</w:t>
            </w:r>
          </w:p>
        </w:tc>
      </w:tr>
      <w:tr w:rsidR="008D5D14" w:rsidRPr="00E0041C" w:rsidTr="00E0041C">
        <w:tc>
          <w:tcPr>
            <w:tcW w:w="1985"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 xml:space="preserve">- Налог на прибыль организаций,    млн. руб. </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214,4</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349,9</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697,5</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746,5</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870,7</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728,1</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847,2</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1546,0</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665,6</w:t>
            </w:r>
          </w:p>
        </w:tc>
      </w:tr>
      <w:tr w:rsidR="008D5D14" w:rsidRPr="00E0041C" w:rsidTr="00E0041C">
        <w:tc>
          <w:tcPr>
            <w:tcW w:w="1985"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 Налог на доходы физ. лиц, млн. руб.</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995,5</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1396,3</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2229,6</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3162,5</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4056,6</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4630,9</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4842,5</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5329,8</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7128,1</w:t>
            </w:r>
          </w:p>
        </w:tc>
      </w:tr>
      <w:tr w:rsidR="008D5D14" w:rsidRPr="00E0041C" w:rsidTr="00E0041C">
        <w:tc>
          <w:tcPr>
            <w:tcW w:w="1985"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 xml:space="preserve">Налоги на товары (работы и услуги), реализуемые на территории РФ </w:t>
            </w:r>
            <w:proofErr w:type="gramStart"/>
            <w:r w:rsidRPr="00E0041C">
              <w:rPr>
                <w:rFonts w:ascii="Times New Roman" w:hAnsi="Times New Roman" w:cs="Times New Roman"/>
                <w:b/>
                <w:sz w:val="16"/>
              </w:rPr>
              <w:t>-а</w:t>
            </w:r>
            <w:proofErr w:type="gramEnd"/>
            <w:r w:rsidRPr="00E0041C">
              <w:rPr>
                <w:rFonts w:ascii="Times New Roman" w:hAnsi="Times New Roman" w:cs="Times New Roman"/>
                <w:b/>
                <w:sz w:val="16"/>
              </w:rPr>
              <w:t>кцизы, млн. руб.</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115,4</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131,7</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146,8</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148,0</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159,6</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277,5</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2365,9</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2347,3</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2639,1</w:t>
            </w:r>
          </w:p>
        </w:tc>
      </w:tr>
      <w:tr w:rsidR="008D5D14" w:rsidRPr="00E0041C" w:rsidTr="00E0041C">
        <w:tc>
          <w:tcPr>
            <w:tcW w:w="1985"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Доля налогов на прибыль, доходы и акцизов в налоговых доходах консолидированного бюджета ЧР, %</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77,7</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91,1</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88,2</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91,0</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84,0</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94,3</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95,3</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93,1</w:t>
            </w:r>
          </w:p>
        </w:tc>
        <w:tc>
          <w:tcPr>
            <w:tcW w:w="819" w:type="dxa"/>
            <w:vAlign w:val="center"/>
          </w:tcPr>
          <w:p w:rsidR="008D5D14" w:rsidRPr="00E0041C" w:rsidRDefault="008D5D14" w:rsidP="00E0041C">
            <w:pPr>
              <w:jc w:val="center"/>
              <w:rPr>
                <w:rFonts w:ascii="Times New Roman" w:hAnsi="Times New Roman" w:cs="Times New Roman"/>
                <w:b/>
                <w:sz w:val="16"/>
              </w:rPr>
            </w:pPr>
            <w:r w:rsidRPr="00E0041C">
              <w:rPr>
                <w:rFonts w:ascii="Times New Roman" w:hAnsi="Times New Roman" w:cs="Times New Roman"/>
                <w:b/>
                <w:sz w:val="16"/>
              </w:rPr>
              <w:t>93,1</w:t>
            </w:r>
          </w:p>
        </w:tc>
      </w:tr>
      <w:tr w:rsidR="008D5D14" w:rsidRPr="00E0041C" w:rsidTr="00E0041C">
        <w:tc>
          <w:tcPr>
            <w:tcW w:w="1985"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 доля налогов на прибыль, доходы в налоговых доходах консолидированного бюджета, %</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70,9</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84,7</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84,0</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87,7</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81,3</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89,6</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67,3</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69,4</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69,2</w:t>
            </w:r>
          </w:p>
        </w:tc>
      </w:tr>
      <w:tr w:rsidR="008D5D14" w:rsidRPr="00E0041C" w:rsidTr="00E0041C">
        <w:tc>
          <w:tcPr>
            <w:tcW w:w="1985"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 доля акцизов в налоговых доходах консолидированного бюджета, %</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6,8</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6,4</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4,2</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3,3</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2,7</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4,7</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28,0</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23,7</w:t>
            </w:r>
          </w:p>
        </w:tc>
        <w:tc>
          <w:tcPr>
            <w:tcW w:w="819" w:type="dxa"/>
            <w:vAlign w:val="center"/>
          </w:tcPr>
          <w:p w:rsidR="008D5D14" w:rsidRPr="00E0041C" w:rsidRDefault="008D5D14" w:rsidP="00E0041C">
            <w:pPr>
              <w:jc w:val="center"/>
              <w:rPr>
                <w:rFonts w:ascii="Times New Roman" w:hAnsi="Times New Roman" w:cs="Times New Roman"/>
                <w:sz w:val="16"/>
              </w:rPr>
            </w:pPr>
            <w:r w:rsidRPr="00E0041C">
              <w:rPr>
                <w:rFonts w:ascii="Times New Roman" w:hAnsi="Times New Roman" w:cs="Times New Roman"/>
                <w:sz w:val="16"/>
              </w:rPr>
              <w:t>23,9</w:t>
            </w:r>
          </w:p>
        </w:tc>
      </w:tr>
    </w:tbl>
    <w:p w:rsidR="008D5D14" w:rsidRPr="0057332A" w:rsidRDefault="008D5D14" w:rsidP="008D5D14">
      <w:pPr>
        <w:spacing w:line="360" w:lineRule="auto"/>
        <w:jc w:val="both"/>
        <w:outlineLvl w:val="0"/>
        <w:rPr>
          <w:rFonts w:ascii="Times New Roman" w:hAnsi="Times New Roman" w:cs="Times New Roman"/>
          <w:b/>
          <w:color w:val="FF0000"/>
          <w:sz w:val="24"/>
          <w:szCs w:val="24"/>
        </w:rPr>
      </w:pPr>
      <w:proofErr w:type="gramStart"/>
      <w:r w:rsidRPr="003F7CFE">
        <w:rPr>
          <w:rFonts w:ascii="Times New Roman" w:hAnsi="Times New Roman" w:cs="Times New Roman"/>
          <w:b/>
          <w:sz w:val="20"/>
          <w:szCs w:val="24"/>
        </w:rPr>
        <w:t>*)</w:t>
      </w:r>
      <w:r w:rsidRPr="003F7CFE">
        <w:rPr>
          <w:rFonts w:ascii="Times New Roman" w:hAnsi="Times New Roman" w:cs="Times New Roman"/>
          <w:sz w:val="20"/>
          <w:szCs w:val="24"/>
        </w:rPr>
        <w:t>Рассчитано</w:t>
      </w:r>
      <w:r w:rsidRPr="003F7CFE">
        <w:rPr>
          <w:rFonts w:ascii="Times New Roman" w:hAnsi="Times New Roman" w:cs="Times New Roman"/>
          <w:b/>
          <w:color w:val="FF0000"/>
          <w:sz w:val="20"/>
          <w:szCs w:val="24"/>
        </w:rPr>
        <w:t xml:space="preserve"> </w:t>
      </w:r>
      <w:r w:rsidRPr="003F7CFE">
        <w:rPr>
          <w:rFonts w:ascii="Times New Roman" w:hAnsi="Times New Roman" w:cs="Times New Roman"/>
          <w:sz w:val="20"/>
          <w:szCs w:val="24"/>
        </w:rPr>
        <w:t>по данным,</w:t>
      </w:r>
      <w:r w:rsidRPr="003F7CFE">
        <w:rPr>
          <w:rFonts w:ascii="Times New Roman" w:hAnsi="Times New Roman" w:cs="Times New Roman"/>
          <w:b/>
          <w:sz w:val="20"/>
          <w:szCs w:val="24"/>
        </w:rPr>
        <w:t xml:space="preserve"> </w:t>
      </w:r>
      <w:r w:rsidRPr="0057332A">
        <w:rPr>
          <w:rFonts w:ascii="Times New Roman" w:hAnsi="Times New Roman" w:cs="Times New Roman"/>
          <w:sz w:val="20"/>
        </w:rPr>
        <w:t xml:space="preserve">представленные в Формах «Отчет об исполнении доходной части консолидированного бюджета Чеченской Республики».  </w:t>
      </w:r>
      <w:r w:rsidRPr="003F7CFE">
        <w:rPr>
          <w:rFonts w:ascii="Times New Roman" w:hAnsi="Times New Roman" w:cs="Times New Roman"/>
          <w:b/>
          <w:color w:val="FF0000"/>
          <w:sz w:val="24"/>
          <w:szCs w:val="24"/>
        </w:rPr>
        <w:t xml:space="preserve">      </w:t>
      </w:r>
      <w:r w:rsidRPr="0057332A">
        <w:rPr>
          <w:rFonts w:ascii="Times New Roman" w:hAnsi="Times New Roman" w:cs="Times New Roman"/>
          <w:b/>
          <w:color w:val="FF0000"/>
          <w:sz w:val="24"/>
          <w:szCs w:val="24"/>
        </w:rPr>
        <w:t xml:space="preserve">  </w:t>
      </w:r>
      <w:proofErr w:type="gramEnd"/>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color w:val="000000"/>
          <w:sz w:val="28"/>
          <w:szCs w:val="28"/>
        </w:rPr>
        <w:tab/>
        <w:t>Рост налоговых доходов консолидированного бюджета субъекта РФ обеспечивается за счет наращивания регионального налогового потенциала.</w:t>
      </w:r>
      <w:r w:rsidRPr="00A77C22">
        <w:rPr>
          <w:rFonts w:ascii="Times New Roman" w:hAnsi="Times New Roman" w:cs="Times New Roman"/>
          <w:sz w:val="28"/>
          <w:szCs w:val="28"/>
        </w:rPr>
        <w:t xml:space="preserve"> Показатель регионального налогового потенциала представляет собой максимальные налоговые поступления в бюджетную систему страны на территории этого региона, оцениваемые по ставкам и общему налоговому режиму в соответствие с действующим налоговым законодательством. </w:t>
      </w:r>
    </w:p>
    <w:p w:rsidR="008D5D14" w:rsidRPr="00A77C22" w:rsidRDefault="008D5D14" w:rsidP="006D0427">
      <w:pPr>
        <w:spacing w:line="360" w:lineRule="auto"/>
        <w:jc w:val="both"/>
        <w:rPr>
          <w:rFonts w:ascii="Times New Roman" w:hAnsi="Times New Roman" w:cs="Times New Roman"/>
          <w:color w:val="000000"/>
          <w:sz w:val="28"/>
          <w:szCs w:val="28"/>
        </w:rPr>
      </w:pPr>
      <w:r w:rsidRPr="00A77C22">
        <w:rPr>
          <w:rFonts w:ascii="Times New Roman" w:hAnsi="Times New Roman" w:cs="Times New Roman"/>
          <w:sz w:val="28"/>
          <w:szCs w:val="28"/>
        </w:rPr>
        <w:tab/>
      </w:r>
      <w:r w:rsidRPr="00A77C22">
        <w:rPr>
          <w:rFonts w:ascii="Times New Roman" w:hAnsi="Times New Roman" w:cs="Times New Roman"/>
          <w:color w:val="000000"/>
          <w:sz w:val="28"/>
          <w:szCs w:val="28"/>
        </w:rPr>
        <w:t xml:space="preserve">Величину налогового потенциала субъекта РФ можно рассчитать  на основе корректировки налоговых поступлений в бюджетную систему Российской Федерации по территории этого региона на основе специального корректировочного коэффициента. В таблице №4 представлена оценка </w:t>
      </w:r>
      <w:r w:rsidRPr="00A77C22">
        <w:rPr>
          <w:rFonts w:ascii="Times New Roman" w:hAnsi="Times New Roman" w:cs="Times New Roman"/>
          <w:color w:val="000000"/>
          <w:sz w:val="28"/>
          <w:szCs w:val="28"/>
        </w:rPr>
        <w:lastRenderedPageBreak/>
        <w:t>налогового потенциала Чеченской республики по годам за период 2006-2010 гг., основанная на данных Росстата и ФНС РФ.</w:t>
      </w:r>
    </w:p>
    <w:p w:rsidR="008D5D14" w:rsidRPr="00A77C22" w:rsidRDefault="008D5D14" w:rsidP="008D5D14">
      <w:pPr>
        <w:spacing w:line="360" w:lineRule="auto"/>
        <w:jc w:val="right"/>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Таблица № 4</w:t>
      </w:r>
    </w:p>
    <w:p w:rsidR="00C56334" w:rsidRDefault="008D5D14" w:rsidP="00C56334">
      <w:pPr>
        <w:spacing w:line="240" w:lineRule="auto"/>
        <w:jc w:val="center"/>
        <w:outlineLvl w:val="0"/>
        <w:rPr>
          <w:rFonts w:ascii="Times New Roman" w:hAnsi="Times New Roman" w:cs="Times New Roman"/>
          <w:b/>
          <w:color w:val="000000"/>
          <w:sz w:val="28"/>
          <w:szCs w:val="28"/>
        </w:rPr>
      </w:pPr>
      <w:r w:rsidRPr="00A77C22">
        <w:rPr>
          <w:rFonts w:ascii="Times New Roman" w:hAnsi="Times New Roman" w:cs="Times New Roman"/>
          <w:b/>
          <w:color w:val="000000"/>
          <w:sz w:val="28"/>
          <w:szCs w:val="28"/>
        </w:rPr>
        <w:t xml:space="preserve">Налоговый потенциал Чеченской республики по годам периода </w:t>
      </w:r>
    </w:p>
    <w:p w:rsidR="008D5D14" w:rsidRPr="00A77C22" w:rsidRDefault="008D5D14" w:rsidP="00C56334">
      <w:pPr>
        <w:spacing w:line="240" w:lineRule="auto"/>
        <w:jc w:val="center"/>
        <w:outlineLvl w:val="0"/>
        <w:rPr>
          <w:rFonts w:ascii="Times New Roman" w:hAnsi="Times New Roman" w:cs="Times New Roman"/>
          <w:b/>
          <w:color w:val="000000"/>
          <w:sz w:val="28"/>
          <w:szCs w:val="28"/>
        </w:rPr>
      </w:pPr>
      <w:r w:rsidRPr="00A77C22">
        <w:rPr>
          <w:rFonts w:ascii="Times New Roman" w:hAnsi="Times New Roman" w:cs="Times New Roman"/>
          <w:b/>
          <w:color w:val="000000"/>
          <w:sz w:val="28"/>
          <w:szCs w:val="28"/>
        </w:rPr>
        <w:t>2006-2010 гг.</w:t>
      </w:r>
    </w:p>
    <w:tbl>
      <w:tblPr>
        <w:tblStyle w:val="a9"/>
        <w:tblW w:w="9689" w:type="dxa"/>
        <w:tblInd w:w="108" w:type="dxa"/>
        <w:tblLook w:val="04A0" w:firstRow="1" w:lastRow="0" w:firstColumn="1" w:lastColumn="0" w:noHBand="0" w:noVBand="1"/>
      </w:tblPr>
      <w:tblGrid>
        <w:gridCol w:w="417"/>
        <w:gridCol w:w="1426"/>
        <w:gridCol w:w="967"/>
        <w:gridCol w:w="671"/>
        <w:gridCol w:w="881"/>
        <w:gridCol w:w="671"/>
        <w:gridCol w:w="881"/>
        <w:gridCol w:w="671"/>
        <w:gridCol w:w="881"/>
        <w:gridCol w:w="671"/>
        <w:gridCol w:w="881"/>
        <w:gridCol w:w="671"/>
      </w:tblGrid>
      <w:tr w:rsidR="008D5D14" w:rsidRPr="00E0041C" w:rsidTr="00E0041C">
        <w:trPr>
          <w:trHeight w:val="450"/>
        </w:trPr>
        <w:tc>
          <w:tcPr>
            <w:tcW w:w="417" w:type="dxa"/>
            <w:vMerge w:val="restart"/>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 xml:space="preserve">№ </w:t>
            </w:r>
            <w:proofErr w:type="gramStart"/>
            <w:r w:rsidRPr="00E0041C">
              <w:rPr>
                <w:rFonts w:ascii="Times New Roman" w:hAnsi="Times New Roman" w:cs="Times New Roman"/>
                <w:b/>
                <w:color w:val="000000"/>
                <w:sz w:val="14"/>
                <w:szCs w:val="24"/>
              </w:rPr>
              <w:t>п</w:t>
            </w:r>
            <w:proofErr w:type="gramEnd"/>
            <w:r w:rsidRPr="00E0041C">
              <w:rPr>
                <w:rFonts w:ascii="Times New Roman" w:hAnsi="Times New Roman" w:cs="Times New Roman"/>
                <w:b/>
                <w:color w:val="000000"/>
                <w:sz w:val="14"/>
                <w:szCs w:val="24"/>
                <w:lang w:val="en-US"/>
              </w:rPr>
              <w:t>/</w:t>
            </w:r>
            <w:r w:rsidRPr="00E0041C">
              <w:rPr>
                <w:rFonts w:ascii="Times New Roman" w:hAnsi="Times New Roman" w:cs="Times New Roman"/>
                <w:b/>
                <w:color w:val="000000"/>
                <w:sz w:val="14"/>
                <w:szCs w:val="24"/>
              </w:rPr>
              <w:t>п</w:t>
            </w:r>
          </w:p>
        </w:tc>
        <w:tc>
          <w:tcPr>
            <w:tcW w:w="1426" w:type="dxa"/>
            <w:vMerge w:val="restart"/>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Показатели</w:t>
            </w:r>
          </w:p>
        </w:tc>
        <w:tc>
          <w:tcPr>
            <w:tcW w:w="1638" w:type="dxa"/>
            <w:gridSpan w:val="2"/>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2006</w:t>
            </w:r>
          </w:p>
        </w:tc>
        <w:tc>
          <w:tcPr>
            <w:tcW w:w="1552" w:type="dxa"/>
            <w:gridSpan w:val="2"/>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2007</w:t>
            </w:r>
          </w:p>
          <w:p w:rsidR="008D5D14" w:rsidRPr="00E0041C" w:rsidRDefault="008D5D14" w:rsidP="008D5D14">
            <w:pPr>
              <w:spacing w:line="360" w:lineRule="auto"/>
              <w:jc w:val="center"/>
              <w:outlineLvl w:val="0"/>
              <w:rPr>
                <w:rFonts w:ascii="Times New Roman" w:hAnsi="Times New Roman" w:cs="Times New Roman"/>
                <w:b/>
                <w:color w:val="000000"/>
                <w:sz w:val="14"/>
                <w:szCs w:val="24"/>
              </w:rPr>
            </w:pPr>
          </w:p>
        </w:tc>
        <w:tc>
          <w:tcPr>
            <w:tcW w:w="1552" w:type="dxa"/>
            <w:gridSpan w:val="2"/>
          </w:tcPr>
          <w:p w:rsidR="008D5D14" w:rsidRPr="00E0041C" w:rsidRDefault="008D5D14" w:rsidP="008D5D14">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2008</w:t>
            </w:r>
          </w:p>
        </w:tc>
        <w:tc>
          <w:tcPr>
            <w:tcW w:w="1552" w:type="dxa"/>
            <w:gridSpan w:val="2"/>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2009</w:t>
            </w:r>
          </w:p>
        </w:tc>
        <w:tc>
          <w:tcPr>
            <w:tcW w:w="1552" w:type="dxa"/>
            <w:gridSpan w:val="2"/>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2010</w:t>
            </w:r>
          </w:p>
        </w:tc>
      </w:tr>
      <w:tr w:rsidR="008D5D14" w:rsidRPr="00E0041C" w:rsidTr="00E0041C">
        <w:trPr>
          <w:trHeight w:val="727"/>
        </w:trPr>
        <w:tc>
          <w:tcPr>
            <w:tcW w:w="417" w:type="dxa"/>
            <w:vMerge/>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p>
        </w:tc>
        <w:tc>
          <w:tcPr>
            <w:tcW w:w="1426" w:type="dxa"/>
            <w:vMerge/>
          </w:tcPr>
          <w:p w:rsidR="008D5D14" w:rsidRPr="00E0041C" w:rsidRDefault="008D5D14" w:rsidP="008D5D14">
            <w:pPr>
              <w:spacing w:line="360" w:lineRule="auto"/>
              <w:jc w:val="center"/>
              <w:outlineLvl w:val="0"/>
              <w:rPr>
                <w:rFonts w:ascii="Times New Roman" w:hAnsi="Times New Roman" w:cs="Times New Roman"/>
                <w:color w:val="000000"/>
                <w:sz w:val="14"/>
                <w:szCs w:val="24"/>
              </w:rPr>
            </w:pPr>
          </w:p>
        </w:tc>
        <w:tc>
          <w:tcPr>
            <w:tcW w:w="967"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По субъектам РФ</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ЧР</w:t>
            </w:r>
          </w:p>
        </w:tc>
      </w:tr>
      <w:tr w:rsidR="008D5D14" w:rsidRPr="00E0041C" w:rsidTr="00E0041C">
        <w:tc>
          <w:tcPr>
            <w:tcW w:w="417"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w:t>
            </w:r>
          </w:p>
        </w:tc>
        <w:tc>
          <w:tcPr>
            <w:tcW w:w="1426"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w:t>
            </w:r>
          </w:p>
        </w:tc>
        <w:tc>
          <w:tcPr>
            <w:tcW w:w="967"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4</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5</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7</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8</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9</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10</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11</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12</w:t>
            </w:r>
          </w:p>
        </w:tc>
      </w:tr>
      <w:tr w:rsidR="008D5D14" w:rsidRPr="00E0041C" w:rsidTr="00E0041C">
        <w:tc>
          <w:tcPr>
            <w:tcW w:w="417" w:type="dxa"/>
          </w:tcPr>
          <w:p w:rsidR="008D5D14" w:rsidRPr="00E0041C" w:rsidRDefault="008D5D14" w:rsidP="008D5D14">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w:t>
            </w:r>
          </w:p>
        </w:tc>
        <w:tc>
          <w:tcPr>
            <w:tcW w:w="1426"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ВРП</w:t>
            </w:r>
            <w:r w:rsidRPr="00E0041C">
              <w:rPr>
                <w:rFonts w:ascii="Times New Roman" w:hAnsi="Times New Roman" w:cs="Times New Roman"/>
                <w:color w:val="000000"/>
                <w:sz w:val="14"/>
                <w:szCs w:val="24"/>
              </w:rPr>
              <w:t>, млн. руб.</w:t>
            </w:r>
          </w:p>
        </w:tc>
        <w:tc>
          <w:tcPr>
            <w:tcW w:w="967"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22492119,6</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32344,4</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27963955,6</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48056,1</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33908756,1</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66273,8</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32007228,1</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64308,8</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37398520,1</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69675,7</w:t>
            </w:r>
          </w:p>
        </w:tc>
      </w:tr>
      <w:tr w:rsidR="008D5D14" w:rsidRPr="00E0041C" w:rsidTr="00E0041C">
        <w:tc>
          <w:tcPr>
            <w:tcW w:w="417" w:type="dxa"/>
          </w:tcPr>
          <w:p w:rsidR="008D5D14" w:rsidRPr="00E0041C" w:rsidRDefault="008D5D14" w:rsidP="008D5D14">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2.</w:t>
            </w:r>
          </w:p>
        </w:tc>
        <w:tc>
          <w:tcPr>
            <w:tcW w:w="1426"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Налоговые поступления в БС РФ</w:t>
            </w:r>
            <w:r w:rsidRPr="00E0041C">
              <w:rPr>
                <w:rFonts w:ascii="Times New Roman" w:hAnsi="Times New Roman" w:cs="Times New Roman"/>
                <w:color w:val="000000"/>
                <w:sz w:val="14"/>
                <w:szCs w:val="24"/>
              </w:rPr>
              <w:t>, млн. руб.</w:t>
            </w:r>
          </w:p>
        </w:tc>
        <w:tc>
          <w:tcPr>
            <w:tcW w:w="967"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5441025,6</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4216,1</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8637497,8</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7045,5</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10027791,9</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10395,0</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8373796,1</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14366,4</w:t>
            </w:r>
          </w:p>
        </w:tc>
        <w:tc>
          <w:tcPr>
            <w:tcW w:w="88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7687883,0</w:t>
            </w:r>
          </w:p>
        </w:tc>
        <w:tc>
          <w:tcPr>
            <w:tcW w:w="671"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9765,5</w:t>
            </w:r>
          </w:p>
        </w:tc>
      </w:tr>
      <w:tr w:rsidR="008D5D14" w:rsidRPr="00E0041C" w:rsidTr="00E0041C">
        <w:tc>
          <w:tcPr>
            <w:tcW w:w="417" w:type="dxa"/>
          </w:tcPr>
          <w:p w:rsidR="008D5D14" w:rsidRPr="00E0041C" w:rsidRDefault="008D5D14" w:rsidP="008D5D14">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3.</w:t>
            </w:r>
          </w:p>
        </w:tc>
        <w:tc>
          <w:tcPr>
            <w:tcW w:w="1426"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Отношение  налоговых поступлений в БС РФ к ВРП (за 2006 - стр.2/стр.1),</w:t>
            </w:r>
            <w:r w:rsidRPr="00E0041C">
              <w:rPr>
                <w:rFonts w:ascii="Times New Roman" w:hAnsi="Times New Roman" w:cs="Times New Roman"/>
                <w:color w:val="000000"/>
                <w:sz w:val="14"/>
                <w:szCs w:val="24"/>
              </w:rPr>
              <w:t xml:space="preserve"> в долях</w:t>
            </w:r>
          </w:p>
        </w:tc>
        <w:tc>
          <w:tcPr>
            <w:tcW w:w="967"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0,242</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0,130</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0,309</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0,147</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0,296</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0,157</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0,262</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0,233</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0,206</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0,140</w:t>
            </w:r>
          </w:p>
        </w:tc>
      </w:tr>
      <w:tr w:rsidR="008D5D14" w:rsidRPr="00E0041C" w:rsidTr="00E0041C">
        <w:tc>
          <w:tcPr>
            <w:tcW w:w="417" w:type="dxa"/>
          </w:tcPr>
          <w:p w:rsidR="008D5D14" w:rsidRPr="00E0041C" w:rsidRDefault="008D5D14" w:rsidP="008D5D14">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4.</w:t>
            </w:r>
          </w:p>
        </w:tc>
        <w:tc>
          <w:tcPr>
            <w:tcW w:w="1426"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Коэффициент корректировки РНП (за 2006  по стр.3. – стб.3/стб.4),</w:t>
            </w:r>
            <w:r w:rsidRPr="00E0041C">
              <w:rPr>
                <w:rFonts w:ascii="Times New Roman" w:hAnsi="Times New Roman" w:cs="Times New Roman"/>
                <w:color w:val="000000"/>
                <w:sz w:val="14"/>
                <w:szCs w:val="24"/>
              </w:rPr>
              <w:t xml:space="preserve">            в долях</w:t>
            </w:r>
          </w:p>
        </w:tc>
        <w:tc>
          <w:tcPr>
            <w:tcW w:w="967"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1,86</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2,10</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1,89</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1,15</w:t>
            </w:r>
          </w:p>
        </w:tc>
        <w:tc>
          <w:tcPr>
            <w:tcW w:w="88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color w:val="000000"/>
                <w:sz w:val="14"/>
                <w:szCs w:val="24"/>
              </w:rPr>
            </w:pPr>
            <w:r w:rsidRPr="00E0041C">
              <w:rPr>
                <w:rFonts w:ascii="Times New Roman" w:hAnsi="Times New Roman" w:cs="Times New Roman"/>
                <w:color w:val="000000"/>
                <w:sz w:val="14"/>
                <w:szCs w:val="24"/>
              </w:rPr>
              <w:t>1,47</w:t>
            </w:r>
          </w:p>
        </w:tc>
      </w:tr>
      <w:tr w:rsidR="008D5D14" w:rsidRPr="00E0041C" w:rsidTr="00E0041C">
        <w:tc>
          <w:tcPr>
            <w:tcW w:w="417" w:type="dxa"/>
          </w:tcPr>
          <w:p w:rsidR="008D5D14" w:rsidRPr="00E0041C" w:rsidRDefault="008D5D14" w:rsidP="008D5D14">
            <w:pPr>
              <w:spacing w:line="360" w:lineRule="auto"/>
              <w:jc w:val="both"/>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5.</w:t>
            </w:r>
          </w:p>
        </w:tc>
        <w:tc>
          <w:tcPr>
            <w:tcW w:w="1426" w:type="dxa"/>
          </w:tcPr>
          <w:p w:rsidR="008D5D14" w:rsidRPr="00E0041C" w:rsidRDefault="008D5D14" w:rsidP="008D5D14">
            <w:pPr>
              <w:spacing w:line="360" w:lineRule="auto"/>
              <w:jc w:val="both"/>
              <w:outlineLvl w:val="0"/>
              <w:rPr>
                <w:rFonts w:ascii="Times New Roman" w:hAnsi="Times New Roman" w:cs="Times New Roman"/>
                <w:color w:val="000000"/>
                <w:sz w:val="14"/>
                <w:szCs w:val="24"/>
              </w:rPr>
            </w:pPr>
            <w:r w:rsidRPr="00E0041C">
              <w:rPr>
                <w:rFonts w:ascii="Times New Roman" w:hAnsi="Times New Roman" w:cs="Times New Roman"/>
                <w:b/>
                <w:color w:val="000000"/>
                <w:sz w:val="14"/>
                <w:szCs w:val="24"/>
              </w:rPr>
              <w:t>Налоговый потенциал ЧР (стр.2*стр.4),</w:t>
            </w:r>
            <w:r w:rsidRPr="00E0041C">
              <w:rPr>
                <w:rFonts w:ascii="Times New Roman" w:hAnsi="Times New Roman" w:cs="Times New Roman"/>
                <w:color w:val="000000"/>
                <w:sz w:val="14"/>
                <w:szCs w:val="24"/>
              </w:rPr>
              <w:t xml:space="preserve"> млн. руб.</w:t>
            </w:r>
          </w:p>
        </w:tc>
        <w:tc>
          <w:tcPr>
            <w:tcW w:w="967"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7842,0</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14795,6</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19646,6</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16521,4</w:t>
            </w:r>
          </w:p>
        </w:tc>
        <w:tc>
          <w:tcPr>
            <w:tcW w:w="88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Х</w:t>
            </w:r>
          </w:p>
        </w:tc>
        <w:tc>
          <w:tcPr>
            <w:tcW w:w="671" w:type="dxa"/>
          </w:tcPr>
          <w:p w:rsidR="008D5D14" w:rsidRPr="00E0041C" w:rsidRDefault="008D5D14" w:rsidP="008D5D14">
            <w:pPr>
              <w:spacing w:line="360" w:lineRule="auto"/>
              <w:jc w:val="center"/>
              <w:outlineLvl w:val="0"/>
              <w:rPr>
                <w:rFonts w:ascii="Times New Roman" w:hAnsi="Times New Roman" w:cs="Times New Roman"/>
                <w:b/>
                <w:color w:val="000000"/>
                <w:sz w:val="14"/>
                <w:szCs w:val="24"/>
              </w:rPr>
            </w:pPr>
            <w:r w:rsidRPr="00E0041C">
              <w:rPr>
                <w:rFonts w:ascii="Times New Roman" w:hAnsi="Times New Roman" w:cs="Times New Roman"/>
                <w:b/>
                <w:color w:val="000000"/>
                <w:sz w:val="14"/>
                <w:szCs w:val="24"/>
              </w:rPr>
              <w:t>14355,3</w:t>
            </w:r>
          </w:p>
        </w:tc>
      </w:tr>
    </w:tbl>
    <w:p w:rsidR="008D5D14" w:rsidRDefault="008D5D14" w:rsidP="008D5D14">
      <w:pPr>
        <w:spacing w:line="360" w:lineRule="auto"/>
        <w:jc w:val="both"/>
        <w:outlineLvl w:val="0"/>
        <w:rPr>
          <w:rFonts w:ascii="Times New Roman" w:hAnsi="Times New Roman" w:cs="Times New Roman"/>
          <w:color w:val="000000"/>
          <w:sz w:val="24"/>
          <w:szCs w:val="24"/>
        </w:rPr>
      </w:pPr>
    </w:p>
    <w:p w:rsidR="008D5D14" w:rsidRPr="00A77C22" w:rsidRDefault="008D5D14" w:rsidP="008D5D14">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ab/>
        <w:t>Налоговый потенциал Чеченской Республики за рассматриваемый пятилетний период (2006-2010 гг.) удвоился - с 7</w:t>
      </w:r>
      <w:r w:rsidR="00015E63">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842,0 млн. руб. в 2006 году вырос до 14</w:t>
      </w:r>
      <w:r w:rsidR="00015E63">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355,3 млн. руб. в 2010 году. Налоговые доходы в структуре доходов консолидированного бюджета ЧР за этот  период увеличились с 3</w:t>
      </w:r>
      <w:r w:rsidR="00015E63">
        <w:rPr>
          <w:rFonts w:ascii="Times New Roman" w:hAnsi="Times New Roman" w:cs="Times New Roman"/>
          <w:color w:val="000000"/>
          <w:sz w:val="28"/>
          <w:szCs w:val="28"/>
        </w:rPr>
        <w:t> </w:t>
      </w:r>
      <w:r w:rsidRPr="00A77C22">
        <w:rPr>
          <w:rFonts w:ascii="Times New Roman" w:hAnsi="Times New Roman" w:cs="Times New Roman"/>
          <w:color w:val="000000"/>
          <w:sz w:val="28"/>
          <w:szCs w:val="28"/>
        </w:rPr>
        <w:t>476,7 млн. руб. до 8</w:t>
      </w:r>
      <w:r w:rsidR="00015E63">
        <w:rPr>
          <w:rFonts w:ascii="Times New Roman" w:hAnsi="Times New Roman" w:cs="Times New Roman"/>
          <w:color w:val="000000"/>
          <w:sz w:val="28"/>
          <w:szCs w:val="28"/>
        </w:rPr>
        <w:t xml:space="preserve"> </w:t>
      </w:r>
      <w:r w:rsidRPr="00A77C22">
        <w:rPr>
          <w:rFonts w:ascii="Times New Roman" w:hAnsi="Times New Roman" w:cs="Times New Roman"/>
          <w:color w:val="000000"/>
          <w:sz w:val="28"/>
          <w:szCs w:val="28"/>
        </w:rPr>
        <w:t>453,1 млн. руб., то есть в 2,4 раза, то есть каждый 1 процент приращения РНП позволял увеличивать на 1,2% налоговые доходы в консолидированный бюджет Чеченской республики. Если исходить из этого сложившегося соотношения, то налоговый потенциал Чеченской республики в 2011 году составил -</w:t>
      </w:r>
      <w:r w:rsidRPr="00A77C22">
        <w:rPr>
          <w:rFonts w:ascii="Times New Roman" w:hAnsi="Times New Roman" w:cs="Times New Roman"/>
          <w:sz w:val="28"/>
          <w:szCs w:val="28"/>
        </w:rPr>
        <w:t>16</w:t>
      </w:r>
      <w:r w:rsidR="00015E63">
        <w:rPr>
          <w:rFonts w:ascii="Times New Roman" w:hAnsi="Times New Roman" w:cs="Times New Roman"/>
          <w:sz w:val="28"/>
          <w:szCs w:val="28"/>
        </w:rPr>
        <w:t xml:space="preserve"> </w:t>
      </w:r>
      <w:r w:rsidRPr="00A77C22">
        <w:rPr>
          <w:rFonts w:ascii="Times New Roman" w:hAnsi="Times New Roman" w:cs="Times New Roman"/>
          <w:sz w:val="28"/>
          <w:szCs w:val="28"/>
        </w:rPr>
        <w:t>408,1 млн. руб.</w:t>
      </w:r>
      <w:r w:rsidRPr="00A77C22">
        <w:rPr>
          <w:rFonts w:ascii="Times New Roman" w:hAnsi="Times New Roman" w:cs="Times New Roman"/>
          <w:color w:val="000000"/>
          <w:sz w:val="28"/>
          <w:szCs w:val="28"/>
        </w:rPr>
        <w:t xml:space="preserve">, а в 2012 году  - </w:t>
      </w:r>
      <w:r w:rsidRPr="00A77C22">
        <w:rPr>
          <w:b/>
          <w:sz w:val="28"/>
          <w:szCs w:val="28"/>
        </w:rPr>
        <w:t xml:space="preserve"> </w:t>
      </w:r>
      <w:r w:rsidRPr="00A77C22">
        <w:rPr>
          <w:rFonts w:ascii="Times New Roman" w:hAnsi="Times New Roman" w:cs="Times New Roman"/>
          <w:sz w:val="28"/>
          <w:szCs w:val="28"/>
        </w:rPr>
        <w:t>18</w:t>
      </w:r>
      <w:r w:rsidR="00015E63">
        <w:rPr>
          <w:rFonts w:ascii="Times New Roman" w:hAnsi="Times New Roman" w:cs="Times New Roman"/>
          <w:sz w:val="28"/>
          <w:szCs w:val="28"/>
        </w:rPr>
        <w:t xml:space="preserve"> </w:t>
      </w:r>
      <w:r w:rsidRPr="00A77C22">
        <w:rPr>
          <w:rFonts w:ascii="Times New Roman" w:hAnsi="Times New Roman" w:cs="Times New Roman"/>
          <w:sz w:val="28"/>
          <w:szCs w:val="28"/>
        </w:rPr>
        <w:t>282,7</w:t>
      </w:r>
      <w:r w:rsidRPr="00A77C22">
        <w:rPr>
          <w:b/>
          <w:sz w:val="28"/>
          <w:szCs w:val="28"/>
        </w:rPr>
        <w:t xml:space="preserve"> </w:t>
      </w:r>
      <w:r w:rsidRPr="00A77C22">
        <w:rPr>
          <w:rFonts w:ascii="Times New Roman" w:hAnsi="Times New Roman" w:cs="Times New Roman"/>
          <w:color w:val="000000"/>
          <w:sz w:val="28"/>
          <w:szCs w:val="28"/>
        </w:rPr>
        <w:t xml:space="preserve">млн. руб.  </w:t>
      </w:r>
    </w:p>
    <w:p w:rsidR="008D5D14" w:rsidRPr="00A77C22" w:rsidRDefault="008D5D14" w:rsidP="008D5D14">
      <w:p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lastRenderedPageBreak/>
        <w:tab/>
        <w:t>Доля безвозмездной помощи бюджетов бюджетной системы РФ  консолидированному бюджету Чеченской республики за период 2006-2010 гг. снизилась лишь на 2,21 процента, то есть с 88,82%  в 2006 году до 86,61% в 2010 году.  А за период 2004-2012 гг. эта доля снизилась  на  7,77 процента – с 92,89% в 2004 году до 85,12% в 2012 году. Эти данные свидетельствуют о высоком уровне дефицита консолидированного бюджета Чеченской республики и слабости налогового потенциала Чеченской республики.</w:t>
      </w:r>
    </w:p>
    <w:p w:rsidR="008D5D14" w:rsidRPr="00A77C22" w:rsidRDefault="009E2B98" w:rsidP="008D5D14">
      <w:pPr>
        <w:spacing w:line="360" w:lineRule="auto"/>
        <w:jc w:val="both"/>
        <w:outlineLvl w:val="0"/>
        <w:rPr>
          <w:rFonts w:ascii="Times New Roman" w:hAnsi="Times New Roman" w:cs="Times New Roman"/>
          <w:color w:val="000000"/>
          <w:sz w:val="28"/>
          <w:szCs w:val="28"/>
        </w:rPr>
      </w:pPr>
      <w:r>
        <w:rPr>
          <w:rFonts w:ascii="Times New Roman" w:hAnsi="Times New Roman" w:cs="Times New Roman"/>
          <w:b/>
          <w:color w:val="000000"/>
          <w:sz w:val="28"/>
          <w:szCs w:val="28"/>
        </w:rPr>
        <w:tab/>
      </w:r>
      <w:r w:rsidR="008D5D14" w:rsidRPr="00A77C22">
        <w:rPr>
          <w:rFonts w:ascii="Times New Roman" w:hAnsi="Times New Roman" w:cs="Times New Roman"/>
          <w:b/>
          <w:color w:val="000000"/>
          <w:sz w:val="28"/>
          <w:szCs w:val="28"/>
        </w:rPr>
        <w:t>Выводы</w:t>
      </w:r>
      <w:r w:rsidR="008D5D14" w:rsidRPr="00A77C22">
        <w:rPr>
          <w:rFonts w:ascii="Times New Roman" w:hAnsi="Times New Roman" w:cs="Times New Roman"/>
          <w:color w:val="000000"/>
          <w:sz w:val="28"/>
          <w:szCs w:val="28"/>
        </w:rPr>
        <w:t>:</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Сохраняется один из самых высоких по субъектам Российской Федерации уровень дефицита консолидированного бюджета Чеченской республики;</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Дефицит консолидированного бюджета Чеченской республики покрывается за счет безвозмездных поступлений от других бюджетов бюджетной системы Российской Федерации (федерального бюджета);</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Доминирует использование возможностей роста налоговых доходов в сравнении с не налоговыми доходами в структуре доходов консолидированного бюджета Чеченской республики;</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Налоговые доходы консолидированного бюджета Чеченской республики преимущественно обеспечивались за счет налога на прибыль, налогов на доходы физических лиц и акцизов (налогов на товары (работ, услуг), реализуемые на территории Российской Федерации);</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 xml:space="preserve">Наблюдается заметное отставание использование возможностей роста налоговых доходов консолидированного бюджета ЧР за счет налогов на имущество, в сравнении </w:t>
      </w:r>
      <w:proofErr w:type="gramStart"/>
      <w:r w:rsidRPr="00A77C22">
        <w:rPr>
          <w:rFonts w:ascii="Times New Roman" w:hAnsi="Times New Roman" w:cs="Times New Roman"/>
          <w:color w:val="000000"/>
          <w:sz w:val="28"/>
          <w:szCs w:val="28"/>
        </w:rPr>
        <w:t>с</w:t>
      </w:r>
      <w:proofErr w:type="gramEnd"/>
      <w:r w:rsidRPr="00A77C22">
        <w:rPr>
          <w:rFonts w:ascii="Times New Roman" w:hAnsi="Times New Roman" w:cs="Times New Roman"/>
          <w:color w:val="000000"/>
          <w:sz w:val="28"/>
          <w:szCs w:val="28"/>
        </w:rPr>
        <w:t xml:space="preserve"> средним уровнем по субъектам РФ СКФО и в целом по субъектам РФ;  </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color w:val="000000"/>
          <w:sz w:val="28"/>
          <w:szCs w:val="28"/>
        </w:rPr>
      </w:pPr>
      <w:r w:rsidRPr="00A77C22">
        <w:rPr>
          <w:rFonts w:ascii="Times New Roman" w:hAnsi="Times New Roman" w:cs="Times New Roman"/>
          <w:color w:val="000000"/>
          <w:sz w:val="28"/>
          <w:szCs w:val="28"/>
        </w:rPr>
        <w:t xml:space="preserve">Для выработки адекватных мер увеличения налоговых доходов консолидированного бюджета ЧР необходимо обосновать параметры </w:t>
      </w:r>
      <w:r w:rsidRPr="00A77C22">
        <w:rPr>
          <w:rFonts w:ascii="Times New Roman" w:hAnsi="Times New Roman" w:cs="Times New Roman"/>
          <w:color w:val="000000"/>
          <w:sz w:val="28"/>
          <w:szCs w:val="28"/>
        </w:rPr>
        <w:lastRenderedPageBreak/>
        <w:t xml:space="preserve">наиболее адекватной стратегии развития регионального налогового потенциала. </w:t>
      </w:r>
    </w:p>
    <w:p w:rsidR="008D5D14" w:rsidRPr="00A77C22" w:rsidRDefault="008D5D14" w:rsidP="008D5D14">
      <w:pPr>
        <w:pStyle w:val="aa"/>
        <w:numPr>
          <w:ilvl w:val="0"/>
          <w:numId w:val="1"/>
        </w:numPr>
        <w:spacing w:line="360" w:lineRule="auto"/>
        <w:jc w:val="both"/>
        <w:outlineLvl w:val="0"/>
        <w:rPr>
          <w:rFonts w:ascii="Times New Roman" w:hAnsi="Times New Roman" w:cs="Times New Roman"/>
          <w:sz w:val="28"/>
          <w:szCs w:val="28"/>
        </w:rPr>
      </w:pPr>
      <w:r w:rsidRPr="00A77C22">
        <w:rPr>
          <w:rFonts w:ascii="Times New Roman" w:hAnsi="Times New Roman" w:cs="Times New Roman"/>
          <w:sz w:val="28"/>
          <w:szCs w:val="28"/>
        </w:rPr>
        <w:t>Очень слабо задействован резерв роста неналоговых доходов консолидированного бюджета ЧР в направлении повышения эффективности управления государственной и муниципальной собственности.</w:t>
      </w:r>
    </w:p>
    <w:p w:rsidR="008D5D14" w:rsidRPr="00A77C22" w:rsidRDefault="008D5D14" w:rsidP="008D5D14">
      <w:pPr>
        <w:jc w:val="center"/>
        <w:rPr>
          <w:rFonts w:ascii="Times New Roman" w:hAnsi="Times New Roman" w:cs="Times New Roman"/>
          <w:b/>
          <w:sz w:val="28"/>
          <w:szCs w:val="28"/>
        </w:rPr>
      </w:pPr>
      <w:r w:rsidRPr="00A77C22">
        <w:rPr>
          <w:rFonts w:ascii="Times New Roman" w:hAnsi="Times New Roman" w:cs="Times New Roman"/>
          <w:b/>
          <w:sz w:val="28"/>
          <w:szCs w:val="28"/>
          <w:lang w:val="en-US"/>
        </w:rPr>
        <w:t>II</w:t>
      </w:r>
      <w:r w:rsidRPr="00A77C22">
        <w:rPr>
          <w:rFonts w:ascii="Times New Roman" w:hAnsi="Times New Roman" w:cs="Times New Roman"/>
          <w:b/>
          <w:sz w:val="28"/>
          <w:szCs w:val="28"/>
        </w:rPr>
        <w:t>. Сценарии развития налогового потенциала Чеченской республики</w:t>
      </w:r>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rPr>
        <w:tab/>
        <w:t xml:space="preserve">Возможны различные сценарии развития налогового потенциала Чеченской республики на ближайшую и долгосрочную перспективы  -  как в направлении сохранения сложившейся в последние годы динамики роста налоговых баз федеральных, региональных и местных налогов; так и более или менее радикальные сценарии развития налогового потенциала Чеченской республики. </w:t>
      </w:r>
    </w:p>
    <w:p w:rsidR="008D5D14" w:rsidRPr="00A77C22" w:rsidRDefault="008D5D14" w:rsidP="006D0427">
      <w:pPr>
        <w:spacing w:line="360" w:lineRule="auto"/>
        <w:jc w:val="both"/>
        <w:rPr>
          <w:rFonts w:ascii="Times New Roman" w:hAnsi="Times New Roman" w:cs="Times New Roman"/>
          <w:sz w:val="28"/>
          <w:szCs w:val="28"/>
        </w:rPr>
      </w:pPr>
      <w:r w:rsidRPr="00A77C22">
        <w:rPr>
          <w:rFonts w:ascii="Times New Roman" w:hAnsi="Times New Roman" w:cs="Times New Roman"/>
          <w:sz w:val="28"/>
          <w:szCs w:val="28"/>
        </w:rPr>
        <w:tab/>
        <w:t xml:space="preserve">В основе каждого из этих возможных сценариев развития налогового потенциала Чеченской республики, прежде всего, лежат возможности региональной инвестиционной политики правительства Российской Федерации и инвестиционной политики правительства Чеченской республики. Каждый возможный сценарий развития налогового потенциала Чеченской республики, таким образом,  основывается на совокупных финансовых  возможностях увеличения капитальных вложений (инвестиций) в основной капитал Чеченской республики. </w:t>
      </w:r>
    </w:p>
    <w:p w:rsidR="008D5D14" w:rsidRPr="00A77C22" w:rsidRDefault="00C56334" w:rsidP="006D0427">
      <w:pPr>
        <w:spacing w:line="360" w:lineRule="auto"/>
        <w:jc w:val="both"/>
        <w:outlineLvl w:val="0"/>
        <w:rPr>
          <w:rFonts w:ascii="Times New Roman" w:hAnsi="Times New Roman" w:cs="Times New Roman"/>
          <w:color w:val="000000"/>
          <w:sz w:val="28"/>
          <w:szCs w:val="28"/>
        </w:rPr>
      </w:pPr>
      <w:r>
        <w:rPr>
          <w:rFonts w:ascii="Times New Roman" w:hAnsi="Times New Roman" w:cs="Times New Roman"/>
          <w:b/>
          <w:color w:val="000000"/>
          <w:sz w:val="28"/>
          <w:szCs w:val="28"/>
        </w:rPr>
        <w:tab/>
      </w:r>
      <w:r w:rsidR="008D5D14" w:rsidRPr="00A77C22">
        <w:rPr>
          <w:rFonts w:ascii="Times New Roman" w:hAnsi="Times New Roman" w:cs="Times New Roman"/>
          <w:b/>
          <w:color w:val="000000"/>
          <w:sz w:val="28"/>
          <w:szCs w:val="28"/>
        </w:rPr>
        <w:t>1. Сложившийся сценарий развития регионального налогового потенциала.</w:t>
      </w:r>
      <w:r w:rsidR="008D5D14" w:rsidRPr="00A77C22">
        <w:rPr>
          <w:rFonts w:ascii="Times New Roman" w:hAnsi="Times New Roman" w:cs="Times New Roman"/>
          <w:color w:val="000000"/>
          <w:sz w:val="28"/>
          <w:szCs w:val="28"/>
        </w:rPr>
        <w:t xml:space="preserve"> Суть этого сценария состоит в том, что развитие налогового потенциала Чеченской республики осуществлялось в рамках федеральной целевой программы "Восстановление экономики и социальной сферы Чеченской республики (2002 год и последующие годы)". </w:t>
      </w:r>
    </w:p>
    <w:p w:rsidR="00C56334" w:rsidRDefault="00C56334" w:rsidP="008D5D14">
      <w:pPr>
        <w:spacing w:line="360" w:lineRule="auto"/>
        <w:jc w:val="right"/>
        <w:outlineLvl w:val="0"/>
        <w:rPr>
          <w:rFonts w:ascii="Times New Roman" w:hAnsi="Times New Roman" w:cs="Times New Roman"/>
          <w:color w:val="000000"/>
          <w:sz w:val="24"/>
          <w:szCs w:val="24"/>
        </w:rPr>
      </w:pPr>
    </w:p>
    <w:p w:rsidR="00C56334" w:rsidRDefault="00C56334" w:rsidP="008D5D14">
      <w:pPr>
        <w:spacing w:line="360" w:lineRule="auto"/>
        <w:jc w:val="right"/>
        <w:outlineLvl w:val="0"/>
        <w:rPr>
          <w:rFonts w:ascii="Times New Roman" w:hAnsi="Times New Roman" w:cs="Times New Roman"/>
          <w:color w:val="000000"/>
          <w:sz w:val="24"/>
          <w:szCs w:val="24"/>
        </w:rPr>
      </w:pPr>
    </w:p>
    <w:p w:rsidR="008D5D14" w:rsidRPr="00C56334" w:rsidRDefault="008D5D14" w:rsidP="008D5D14">
      <w:pPr>
        <w:spacing w:line="360" w:lineRule="auto"/>
        <w:jc w:val="right"/>
        <w:outlineLvl w:val="0"/>
        <w:rPr>
          <w:rFonts w:ascii="Times New Roman" w:hAnsi="Times New Roman" w:cs="Times New Roman"/>
          <w:color w:val="000000"/>
          <w:sz w:val="28"/>
          <w:szCs w:val="28"/>
        </w:rPr>
      </w:pPr>
      <w:r w:rsidRPr="00C56334">
        <w:rPr>
          <w:rFonts w:ascii="Times New Roman" w:hAnsi="Times New Roman" w:cs="Times New Roman"/>
          <w:color w:val="000000"/>
          <w:sz w:val="28"/>
          <w:szCs w:val="28"/>
        </w:rPr>
        <w:lastRenderedPageBreak/>
        <w:t>Таблица № 5</w:t>
      </w:r>
    </w:p>
    <w:p w:rsidR="00C56334" w:rsidRDefault="008D5D14" w:rsidP="00C56334">
      <w:pPr>
        <w:spacing w:after="0" w:line="240" w:lineRule="auto"/>
        <w:jc w:val="center"/>
        <w:rPr>
          <w:rFonts w:ascii="Times New Roman" w:hAnsi="Times New Roman" w:cs="Times New Roman"/>
          <w:b/>
          <w:color w:val="000000"/>
          <w:sz w:val="28"/>
          <w:szCs w:val="28"/>
        </w:rPr>
      </w:pPr>
      <w:r w:rsidRPr="00C56334">
        <w:rPr>
          <w:rFonts w:ascii="Times New Roman" w:hAnsi="Times New Roman" w:cs="Times New Roman"/>
          <w:b/>
          <w:sz w:val="28"/>
          <w:szCs w:val="28"/>
        </w:rPr>
        <w:t xml:space="preserve">Фактическое финансирование ФЦП </w:t>
      </w:r>
      <w:r w:rsidRPr="00C56334">
        <w:rPr>
          <w:rFonts w:ascii="Times New Roman" w:hAnsi="Times New Roman" w:cs="Times New Roman"/>
          <w:b/>
          <w:color w:val="000000"/>
          <w:sz w:val="28"/>
          <w:szCs w:val="28"/>
        </w:rPr>
        <w:t xml:space="preserve">"Восстановление экономики и социальной сферы Чеченской республики </w:t>
      </w:r>
    </w:p>
    <w:p w:rsidR="008D5D14" w:rsidRPr="00C56334" w:rsidRDefault="008D5D14" w:rsidP="00C56334">
      <w:pPr>
        <w:spacing w:after="0" w:line="240" w:lineRule="auto"/>
        <w:jc w:val="center"/>
        <w:rPr>
          <w:rFonts w:ascii="Times New Roman" w:hAnsi="Times New Roman" w:cs="Times New Roman"/>
          <w:b/>
          <w:sz w:val="28"/>
          <w:szCs w:val="28"/>
        </w:rPr>
      </w:pPr>
      <w:r w:rsidRPr="00C56334">
        <w:rPr>
          <w:rFonts w:ascii="Times New Roman" w:hAnsi="Times New Roman" w:cs="Times New Roman"/>
          <w:b/>
          <w:color w:val="000000"/>
          <w:sz w:val="28"/>
          <w:szCs w:val="28"/>
        </w:rPr>
        <w:t xml:space="preserve">(2002 год и последующие годы)" </w:t>
      </w:r>
    </w:p>
    <w:tbl>
      <w:tblPr>
        <w:tblStyle w:val="a9"/>
        <w:tblW w:w="10208" w:type="dxa"/>
        <w:tblInd w:w="-318" w:type="dxa"/>
        <w:tblLayout w:type="fixed"/>
        <w:tblLook w:val="04A0" w:firstRow="1" w:lastRow="0" w:firstColumn="1" w:lastColumn="0" w:noHBand="0" w:noVBand="1"/>
      </w:tblPr>
      <w:tblGrid>
        <w:gridCol w:w="1986"/>
        <w:gridCol w:w="1134"/>
        <w:gridCol w:w="1134"/>
        <w:gridCol w:w="1134"/>
        <w:gridCol w:w="1134"/>
        <w:gridCol w:w="1134"/>
        <w:gridCol w:w="1276"/>
        <w:gridCol w:w="1276"/>
      </w:tblGrid>
      <w:tr w:rsidR="008D5D14" w:rsidRPr="00E0041C" w:rsidTr="007F4AB9">
        <w:tc>
          <w:tcPr>
            <w:tcW w:w="1986"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Наименование</w:t>
            </w:r>
          </w:p>
        </w:tc>
        <w:tc>
          <w:tcPr>
            <w:tcW w:w="1134"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2002</w:t>
            </w:r>
          </w:p>
        </w:tc>
        <w:tc>
          <w:tcPr>
            <w:tcW w:w="1134"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2003</w:t>
            </w:r>
          </w:p>
        </w:tc>
        <w:tc>
          <w:tcPr>
            <w:tcW w:w="1134"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2004</w:t>
            </w:r>
          </w:p>
        </w:tc>
        <w:tc>
          <w:tcPr>
            <w:tcW w:w="1134"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2005</w:t>
            </w:r>
          </w:p>
        </w:tc>
        <w:tc>
          <w:tcPr>
            <w:tcW w:w="1134"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2006</w:t>
            </w:r>
          </w:p>
        </w:tc>
        <w:tc>
          <w:tcPr>
            <w:tcW w:w="1276"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2007</w:t>
            </w:r>
          </w:p>
        </w:tc>
        <w:tc>
          <w:tcPr>
            <w:tcW w:w="1276" w:type="dxa"/>
          </w:tcPr>
          <w:p w:rsidR="008D5D14" w:rsidRPr="00E0041C" w:rsidRDefault="008D5D14" w:rsidP="008D5D14">
            <w:pPr>
              <w:jc w:val="center"/>
              <w:rPr>
                <w:rFonts w:ascii="Times New Roman" w:hAnsi="Times New Roman" w:cs="Times New Roman"/>
                <w:b/>
              </w:rPr>
            </w:pPr>
            <w:r w:rsidRPr="00E0041C">
              <w:rPr>
                <w:rFonts w:ascii="Times New Roman" w:hAnsi="Times New Roman" w:cs="Times New Roman"/>
                <w:b/>
              </w:rPr>
              <w:t>Весь период</w:t>
            </w:r>
          </w:p>
        </w:tc>
      </w:tr>
      <w:tr w:rsidR="008D5D14" w:rsidRPr="00E0041C" w:rsidTr="007F4AB9">
        <w:tc>
          <w:tcPr>
            <w:tcW w:w="198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Профинансировано по направлению капитальные вложения (данные федерального казначейства),    млн. рублей</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4893,8420</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3489,0600</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4770,2600</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7714,5194</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9301,8067</w:t>
            </w:r>
          </w:p>
        </w:tc>
        <w:tc>
          <w:tcPr>
            <w:tcW w:w="127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11389,7914</w:t>
            </w:r>
          </w:p>
        </w:tc>
        <w:tc>
          <w:tcPr>
            <w:tcW w:w="127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41559,2795</w:t>
            </w:r>
          </w:p>
        </w:tc>
      </w:tr>
      <w:tr w:rsidR="008D5D14" w:rsidRPr="00E0041C" w:rsidTr="007F4AB9">
        <w:tc>
          <w:tcPr>
            <w:tcW w:w="198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Профинансировано по направлению НИОКР (данные федерального казначейства),   млн. рублей</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c>
          <w:tcPr>
            <w:tcW w:w="127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c>
          <w:tcPr>
            <w:tcW w:w="127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w:t>
            </w:r>
          </w:p>
        </w:tc>
      </w:tr>
      <w:tr w:rsidR="008D5D14" w:rsidRPr="00E0041C" w:rsidTr="007F4AB9">
        <w:tc>
          <w:tcPr>
            <w:tcW w:w="198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Профинансировано по направлению прочие нужды (данные федерального казначейства),    млн. рублей</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1453,5490</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1063,9640</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2177,2400</w:t>
            </w:r>
          </w:p>
        </w:tc>
        <w:tc>
          <w:tcPr>
            <w:tcW w:w="1134"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220,0000</w:t>
            </w:r>
          </w:p>
        </w:tc>
        <w:tc>
          <w:tcPr>
            <w:tcW w:w="1134" w:type="dxa"/>
          </w:tcPr>
          <w:p w:rsidR="008D5D14" w:rsidRPr="007F4AB9" w:rsidRDefault="008D5D14" w:rsidP="008D5D14">
            <w:pPr>
              <w:rPr>
                <w:rFonts w:ascii="Times New Roman" w:hAnsi="Times New Roman" w:cs="Times New Roman"/>
                <w:sz w:val="20"/>
                <w:szCs w:val="20"/>
              </w:rPr>
            </w:pPr>
          </w:p>
        </w:tc>
        <w:tc>
          <w:tcPr>
            <w:tcW w:w="127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459,0000</w:t>
            </w:r>
          </w:p>
        </w:tc>
        <w:tc>
          <w:tcPr>
            <w:tcW w:w="1276" w:type="dxa"/>
          </w:tcPr>
          <w:p w:rsidR="008D5D14" w:rsidRPr="007F4AB9" w:rsidRDefault="008D5D14" w:rsidP="008D5D14">
            <w:pPr>
              <w:rPr>
                <w:rFonts w:ascii="Times New Roman" w:hAnsi="Times New Roman" w:cs="Times New Roman"/>
                <w:sz w:val="20"/>
                <w:szCs w:val="20"/>
              </w:rPr>
            </w:pPr>
            <w:r w:rsidRPr="007F4AB9">
              <w:rPr>
                <w:rFonts w:ascii="Times New Roman" w:hAnsi="Times New Roman" w:cs="Times New Roman"/>
                <w:sz w:val="20"/>
                <w:szCs w:val="20"/>
              </w:rPr>
              <w:t>5373,7530</w:t>
            </w:r>
          </w:p>
        </w:tc>
      </w:tr>
      <w:tr w:rsidR="008D5D14" w:rsidRPr="00E0041C" w:rsidTr="007F4AB9">
        <w:tc>
          <w:tcPr>
            <w:tcW w:w="1986"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Всего из федерального бюджета - данные федерального казначейства,    млн. рублей</w:t>
            </w:r>
          </w:p>
        </w:tc>
        <w:tc>
          <w:tcPr>
            <w:tcW w:w="1134"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6347,3910</w:t>
            </w:r>
          </w:p>
        </w:tc>
        <w:tc>
          <w:tcPr>
            <w:tcW w:w="1134"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4553,0240</w:t>
            </w:r>
          </w:p>
        </w:tc>
        <w:tc>
          <w:tcPr>
            <w:tcW w:w="1134"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6947,5000</w:t>
            </w:r>
          </w:p>
        </w:tc>
        <w:tc>
          <w:tcPr>
            <w:tcW w:w="1134"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7934,5194</w:t>
            </w:r>
          </w:p>
        </w:tc>
        <w:tc>
          <w:tcPr>
            <w:tcW w:w="1134"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9301,8067</w:t>
            </w:r>
          </w:p>
        </w:tc>
        <w:tc>
          <w:tcPr>
            <w:tcW w:w="1276"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11848,7914</w:t>
            </w:r>
          </w:p>
        </w:tc>
        <w:tc>
          <w:tcPr>
            <w:tcW w:w="1276" w:type="dxa"/>
          </w:tcPr>
          <w:p w:rsidR="008D5D14" w:rsidRPr="007F4AB9" w:rsidRDefault="008D5D14" w:rsidP="008D5D14">
            <w:pPr>
              <w:rPr>
                <w:rFonts w:ascii="Times New Roman" w:hAnsi="Times New Roman" w:cs="Times New Roman"/>
                <w:b/>
                <w:sz w:val="20"/>
                <w:szCs w:val="20"/>
              </w:rPr>
            </w:pPr>
            <w:r w:rsidRPr="007F4AB9">
              <w:rPr>
                <w:rFonts w:ascii="Times New Roman" w:hAnsi="Times New Roman" w:cs="Times New Roman"/>
                <w:b/>
                <w:sz w:val="20"/>
                <w:szCs w:val="20"/>
              </w:rPr>
              <w:t>46933,032</w:t>
            </w:r>
          </w:p>
        </w:tc>
      </w:tr>
    </w:tbl>
    <w:p w:rsidR="008D5D14" w:rsidRPr="003117CD" w:rsidRDefault="008D5D14" w:rsidP="008D5D14">
      <w:pPr>
        <w:spacing w:line="360" w:lineRule="auto"/>
        <w:jc w:val="both"/>
        <w:outlineLvl w:val="0"/>
        <w:rPr>
          <w:sz w:val="20"/>
          <w:szCs w:val="20"/>
        </w:rPr>
      </w:pPr>
      <w:proofErr w:type="gramStart"/>
      <w:r w:rsidRPr="003117CD">
        <w:rPr>
          <w:sz w:val="20"/>
          <w:szCs w:val="20"/>
        </w:rPr>
        <w:t xml:space="preserve">*) По данным </w:t>
      </w:r>
      <w:r w:rsidRPr="003117CD">
        <w:rPr>
          <w:rFonts w:ascii="Times New Roman" w:hAnsi="Times New Roman" w:cs="Times New Roman"/>
          <w:color w:val="000000"/>
          <w:sz w:val="20"/>
          <w:szCs w:val="20"/>
        </w:rPr>
        <w:t>по данным</w:t>
      </w:r>
      <w:r w:rsidRPr="003117CD">
        <w:rPr>
          <w:sz w:val="20"/>
          <w:szCs w:val="20"/>
        </w:rPr>
        <w:t xml:space="preserve"> Федерального казначейства (данные 2012 года по состоянию на 1.01.2013) - </w:t>
      </w:r>
      <w:hyperlink r:id="rId34" w:history="1">
        <w:r w:rsidRPr="003117CD">
          <w:rPr>
            <w:rStyle w:val="af1"/>
            <w:sz w:val="20"/>
            <w:szCs w:val="20"/>
          </w:rPr>
          <w:t>http://fcp.economy.gov.ru/cgi-bin/cis/fcp.cgi/Fcp/ViewFcp/View/2007/141/</w:t>
        </w:r>
      </w:hyperlink>
      <w:r>
        <w:tab/>
      </w:r>
      <w:r>
        <w:tab/>
      </w:r>
      <w:r>
        <w:tab/>
      </w:r>
      <w:proofErr w:type="gramEnd"/>
    </w:p>
    <w:p w:rsidR="008D5D14" w:rsidRPr="00C56334" w:rsidRDefault="008D5D14" w:rsidP="00C56334">
      <w:pPr>
        <w:spacing w:after="0" w:line="360" w:lineRule="auto"/>
        <w:jc w:val="both"/>
        <w:outlineLvl w:val="0"/>
        <w:rPr>
          <w:rFonts w:ascii="Times New Roman" w:hAnsi="Times New Roman" w:cs="Times New Roman"/>
          <w:color w:val="000000"/>
          <w:sz w:val="28"/>
          <w:szCs w:val="28"/>
        </w:rPr>
      </w:pPr>
      <w:r w:rsidRPr="00C56334">
        <w:rPr>
          <w:rFonts w:ascii="Times New Roman" w:hAnsi="Times New Roman" w:cs="Times New Roman"/>
          <w:b/>
          <w:color w:val="000000"/>
          <w:sz w:val="28"/>
          <w:szCs w:val="28"/>
        </w:rPr>
        <w:tab/>
      </w:r>
      <w:r w:rsidRPr="00C56334">
        <w:rPr>
          <w:rFonts w:ascii="Times New Roman" w:hAnsi="Times New Roman" w:cs="Times New Roman"/>
          <w:color w:val="000000"/>
          <w:sz w:val="28"/>
          <w:szCs w:val="28"/>
        </w:rPr>
        <w:t xml:space="preserve">Этот сценарий свидетельствует о том, что для сокращения дефицита консолидированного бюджета Чеченской республики на 1,0% в течение пятилетнего периода (2006-2010гг.) потребовалось приращение налогового потенциала Чеченской республики на 50 процентов (к уровню 2005 года) и налоговых доходов консолидированного бюджета Чеченской республики на 60 процентов (см. таблицу №4). Для выхода на бездефицитный уровень консолидированного бюджета Чеченской республики при сохранении сложившейся динамики роста его доходов и расходов (т.е. по сложившемуся сценарию развития РНП) потребуется не менее 45 лет, что нереально.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В подтверждении данного тезиса служит и текущее состояние консолидированного бюджета Чеченской республики – ситуация как 2011 и </w:t>
      </w:r>
      <w:r w:rsidRPr="00C56334">
        <w:rPr>
          <w:rFonts w:ascii="Times New Roman" w:hAnsi="Times New Roman" w:cs="Times New Roman"/>
          <w:sz w:val="28"/>
          <w:szCs w:val="28"/>
        </w:rPr>
        <w:lastRenderedPageBreak/>
        <w:t>2012 годов, так и первых месяцев 2013 гола. Уровень налогового потенциала Чеченской республики сегодня не позволительно низок. За двенадцать лет восстановления экономики и социальной сферы Чеченской республики  уровень дефицита его консолидированного бюджета продолжает оставаться  в пределах 90% (в 2012 году – 85,0%), что показано в таблице №1. При таком кризисном состоянии консолидированного бюджета Чеченской республики нет основании вести речь об общем режиме о</w:t>
      </w:r>
      <w:r w:rsidRPr="00C56334">
        <w:rPr>
          <w:rFonts w:ascii="Times New Roman" w:eastAsia="Times New Roman" w:hAnsi="Times New Roman" w:cs="Times New Roman"/>
          <w:bCs/>
          <w:sz w:val="28"/>
          <w:szCs w:val="28"/>
          <w:lang w:eastAsia="ru-RU"/>
        </w:rPr>
        <w:t>беспечения устойчивого развития Чеченской республики</w:t>
      </w:r>
      <w:r w:rsidRPr="00C56334">
        <w:rPr>
          <w:rFonts w:ascii="Times New Roman" w:hAnsi="Times New Roman" w:cs="Times New Roman"/>
          <w:sz w:val="28"/>
          <w:szCs w:val="28"/>
        </w:rPr>
        <w:t xml:space="preserve">. Предварительно необходимо обеспечить условия требуемого роста её налоговой базы, и прежде всего по налогам на прибыль, доходы. На их долю приходится 73,1% налоговых доходов консолидированного бюджета субъектов РФ за 2012 год. Доля прибыльных организаций Чеченской республики и уровень прибыльности (доходности) этих  организаций должны быть не ниже средних уровней по России. Поэтому, прежде всего,  необходимо обеспечить восстановление ранее существовавших в Чеченской республике  (до событий 90-х годов) экономических кластеров. Так, в частности возрождение всего нефтегазохимического комплекса - восстановление всей производственной цепочки: от добычи нефти и газа до производства премиксов, парафинов, полиэтилена, красителей и других продуктов нефтехимии. Дискуссионными могут быть только параметры мощностей (при обязательном соблюдении нижнего порога мощности нефтепереработки, как базовое условие запуска  нефтехимического производства – порога безубыточности всего нефтегазохимического комплекса). </w:t>
      </w:r>
    </w:p>
    <w:p w:rsidR="008D5D14" w:rsidRPr="00C56334" w:rsidRDefault="008D5D14" w:rsidP="00C56334">
      <w:pPr>
        <w:spacing w:after="0" w:line="360" w:lineRule="auto"/>
        <w:jc w:val="both"/>
        <w:rPr>
          <w:rFonts w:ascii="Times New Roman" w:hAnsi="Times New Roman" w:cs="Times New Roman"/>
          <w:color w:val="000000"/>
          <w:sz w:val="28"/>
          <w:szCs w:val="28"/>
        </w:rPr>
      </w:pPr>
      <w:r w:rsidRPr="00C56334">
        <w:rPr>
          <w:rFonts w:ascii="Times New Roman" w:hAnsi="Times New Roman" w:cs="Times New Roman"/>
          <w:color w:val="000000"/>
          <w:sz w:val="28"/>
          <w:szCs w:val="28"/>
        </w:rPr>
        <w:tab/>
      </w:r>
      <w:proofErr w:type="gramStart"/>
      <w:r w:rsidRPr="00C56334">
        <w:rPr>
          <w:rFonts w:ascii="Times New Roman" w:hAnsi="Times New Roman" w:cs="Times New Roman"/>
          <w:color w:val="000000"/>
          <w:sz w:val="28"/>
          <w:szCs w:val="28"/>
        </w:rPr>
        <w:t>По показателю объем инвестиций на душу населения Чеченская республика в 2000-е годы (по оценкам Минэкономразвития России</w:t>
      </w:r>
      <w:r w:rsidRPr="00C56334">
        <w:rPr>
          <w:rStyle w:val="af0"/>
          <w:rFonts w:ascii="Times New Roman" w:hAnsi="Times New Roman" w:cs="Times New Roman"/>
          <w:color w:val="000000"/>
          <w:sz w:val="28"/>
          <w:szCs w:val="28"/>
        </w:rPr>
        <w:footnoteReference w:id="1"/>
      </w:r>
      <w:r w:rsidRPr="00C56334">
        <w:rPr>
          <w:rFonts w:ascii="Times New Roman" w:hAnsi="Times New Roman" w:cs="Times New Roman"/>
          <w:color w:val="000000"/>
          <w:sz w:val="28"/>
          <w:szCs w:val="28"/>
        </w:rPr>
        <w:t>) уступала среднероссийскому показателю в 1,4-3,1 раза (см. рис.3), а в кризисном 2008 году Чеченская республика занимала (также по оценке Минэкономразвития России</w:t>
      </w:r>
      <w:r w:rsidRPr="00C56334">
        <w:rPr>
          <w:rFonts w:ascii="Times New Roman" w:hAnsi="Times New Roman" w:cs="Times New Roman"/>
          <w:b/>
          <w:color w:val="000000"/>
          <w:sz w:val="28"/>
          <w:szCs w:val="28"/>
        </w:rPr>
        <w:t xml:space="preserve">) </w:t>
      </w:r>
      <w:r w:rsidRPr="00C56334">
        <w:rPr>
          <w:rFonts w:ascii="Times New Roman" w:hAnsi="Times New Roman" w:cs="Times New Roman"/>
          <w:color w:val="000000"/>
          <w:sz w:val="28"/>
          <w:szCs w:val="28"/>
        </w:rPr>
        <w:t>лишь 64 место</w:t>
      </w:r>
      <w:r w:rsidRPr="00C56334">
        <w:rPr>
          <w:rFonts w:ascii="Times New Roman" w:hAnsi="Times New Roman" w:cs="Times New Roman"/>
          <w:b/>
          <w:color w:val="000000"/>
          <w:sz w:val="28"/>
          <w:szCs w:val="28"/>
        </w:rPr>
        <w:t xml:space="preserve"> </w:t>
      </w:r>
      <w:r w:rsidRPr="00C56334">
        <w:rPr>
          <w:rFonts w:ascii="Times New Roman" w:hAnsi="Times New Roman" w:cs="Times New Roman"/>
          <w:color w:val="000000"/>
          <w:sz w:val="28"/>
          <w:szCs w:val="28"/>
        </w:rPr>
        <w:t>среди субъектов Российской Федерации (30,8 тыс. рублей), включая и инвестиции по ФЦП «Социально-</w:t>
      </w:r>
      <w:r w:rsidRPr="00C56334">
        <w:rPr>
          <w:rFonts w:ascii="Times New Roman" w:hAnsi="Times New Roman" w:cs="Times New Roman"/>
          <w:color w:val="000000"/>
          <w:sz w:val="28"/>
          <w:szCs w:val="28"/>
        </w:rPr>
        <w:lastRenderedPageBreak/>
        <w:t>экономическое развитие Чеченской Республики на 2008-2011</w:t>
      </w:r>
      <w:proofErr w:type="gramEnd"/>
      <w:r w:rsidRPr="00C56334">
        <w:rPr>
          <w:rFonts w:ascii="Times New Roman" w:hAnsi="Times New Roman" w:cs="Times New Roman"/>
          <w:color w:val="000000"/>
          <w:sz w:val="28"/>
          <w:szCs w:val="28"/>
        </w:rPr>
        <w:t xml:space="preserve"> годы», утвержденной Постановлением Правительства Российской Федерации от 15 июля </w:t>
      </w:r>
      <w:smartTag w:uri="urn:schemas-microsoft-com:office:smarttags" w:element="metricconverter">
        <w:smartTagPr>
          <w:attr w:name="ProductID" w:val="2008 г"/>
        </w:smartTagPr>
        <w:r w:rsidRPr="00C56334">
          <w:rPr>
            <w:rFonts w:ascii="Times New Roman" w:hAnsi="Times New Roman" w:cs="Times New Roman"/>
            <w:color w:val="000000"/>
            <w:sz w:val="28"/>
            <w:szCs w:val="28"/>
          </w:rPr>
          <w:t>2008 г</w:t>
        </w:r>
      </w:smartTag>
      <w:r w:rsidRPr="00C56334">
        <w:rPr>
          <w:rFonts w:ascii="Times New Roman" w:hAnsi="Times New Roman" w:cs="Times New Roman"/>
          <w:color w:val="000000"/>
          <w:sz w:val="28"/>
          <w:szCs w:val="28"/>
        </w:rPr>
        <w:t>. № 537.</w:t>
      </w:r>
    </w:p>
    <w:p w:rsidR="008D5D14" w:rsidRPr="00C56334" w:rsidRDefault="008D5D14" w:rsidP="00C56334">
      <w:pPr>
        <w:pStyle w:val="ac"/>
        <w:jc w:val="center"/>
        <w:rPr>
          <w:b/>
          <w:i w:val="0"/>
          <w:color w:val="000000"/>
          <w:sz w:val="28"/>
          <w:szCs w:val="28"/>
        </w:rPr>
      </w:pPr>
      <w:r w:rsidRPr="00C56334">
        <w:rPr>
          <w:b/>
          <w:i w:val="0"/>
          <w:color w:val="000000"/>
          <w:sz w:val="28"/>
          <w:szCs w:val="28"/>
        </w:rPr>
        <w:t>Рис.3. Динамика инвестиций за счет всех источников финансирования на душу населения, тыс. рублей</w:t>
      </w:r>
    </w:p>
    <w:p w:rsidR="008D5D14" w:rsidRPr="004427F2" w:rsidRDefault="008D5D14" w:rsidP="008D5D14">
      <w:pPr>
        <w:spacing w:line="360" w:lineRule="auto"/>
        <w:jc w:val="both"/>
        <w:rPr>
          <w:rFonts w:ascii="Times New Roman" w:hAnsi="Times New Roman" w:cs="Times New Roman"/>
          <w:color w:val="000000"/>
          <w:sz w:val="24"/>
          <w:szCs w:val="24"/>
        </w:rPr>
      </w:pPr>
      <w:r w:rsidRPr="004427F2">
        <w:rPr>
          <w:rFonts w:ascii="Times New Roman" w:hAnsi="Times New Roman" w:cs="Times New Roman"/>
          <w:noProof/>
          <w:sz w:val="24"/>
          <w:szCs w:val="24"/>
          <w:lang w:eastAsia="ru-RU"/>
        </w:rPr>
        <w:drawing>
          <wp:inline distT="0" distB="0" distL="0" distR="0" wp14:anchorId="08169428" wp14:editId="653E8657">
            <wp:extent cx="5910784" cy="2079653"/>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025" cy="2081145"/>
                    </a:xfrm>
                    <a:prstGeom prst="rect">
                      <a:avLst/>
                    </a:prstGeom>
                    <a:noFill/>
                    <a:ln>
                      <a:noFill/>
                    </a:ln>
                  </pic:spPr>
                </pic:pic>
              </a:graphicData>
            </a:graphic>
          </wp:inline>
        </w:drawing>
      </w:r>
    </w:p>
    <w:p w:rsidR="008D5D14" w:rsidRPr="00C56334" w:rsidRDefault="008D5D14" w:rsidP="00C56334">
      <w:pPr>
        <w:spacing w:after="0" w:line="360" w:lineRule="auto"/>
        <w:jc w:val="both"/>
        <w:rPr>
          <w:rFonts w:ascii="Times New Roman" w:hAnsi="Times New Roman" w:cs="Times New Roman"/>
          <w:color w:val="000000"/>
          <w:sz w:val="28"/>
          <w:szCs w:val="28"/>
        </w:rPr>
      </w:pPr>
      <w:r w:rsidRPr="00C56334">
        <w:rPr>
          <w:rFonts w:ascii="Times New Roman" w:hAnsi="Times New Roman" w:cs="Times New Roman"/>
          <w:color w:val="000000"/>
          <w:sz w:val="28"/>
          <w:szCs w:val="28"/>
        </w:rPr>
        <w:tab/>
        <w:t xml:space="preserve">Возникает закономерный вопрос: </w:t>
      </w:r>
    </w:p>
    <w:p w:rsidR="008D5D14" w:rsidRPr="00C56334" w:rsidRDefault="008D5D14" w:rsidP="00C56334">
      <w:pPr>
        <w:pStyle w:val="aa"/>
        <w:numPr>
          <w:ilvl w:val="0"/>
          <w:numId w:val="25"/>
        </w:numPr>
        <w:spacing w:after="0" w:line="360" w:lineRule="auto"/>
        <w:jc w:val="both"/>
        <w:rPr>
          <w:rFonts w:ascii="Times New Roman" w:hAnsi="Times New Roman" w:cs="Times New Roman"/>
          <w:i/>
          <w:color w:val="000000"/>
          <w:sz w:val="28"/>
          <w:szCs w:val="28"/>
        </w:rPr>
      </w:pPr>
      <w:r w:rsidRPr="00C56334">
        <w:rPr>
          <w:rFonts w:ascii="Times New Roman" w:hAnsi="Times New Roman" w:cs="Times New Roman"/>
          <w:i/>
          <w:color w:val="000000"/>
          <w:sz w:val="28"/>
          <w:szCs w:val="28"/>
        </w:rPr>
        <w:t xml:space="preserve">Почему не смотря на значительные в отдельные годы восстановительного периода ассигнования из федерального бюджета (порой превышающие уровень средний по РФ)  инвестиции за счет всех источников  финансирования на душу населения по Чеченской Республике всегда оставался ниже по Российской Федерации в целом? </w:t>
      </w:r>
    </w:p>
    <w:p w:rsidR="008D5D14" w:rsidRPr="00C56334" w:rsidRDefault="008D5D14" w:rsidP="00C56334">
      <w:pPr>
        <w:pStyle w:val="ab"/>
        <w:spacing w:before="0" w:beforeAutospacing="0" w:after="0" w:afterAutospacing="0" w:line="360" w:lineRule="auto"/>
        <w:jc w:val="both"/>
        <w:rPr>
          <w:color w:val="000000"/>
          <w:sz w:val="28"/>
          <w:szCs w:val="28"/>
        </w:rPr>
      </w:pPr>
      <w:r w:rsidRPr="00C56334">
        <w:rPr>
          <w:color w:val="000000"/>
          <w:sz w:val="28"/>
          <w:szCs w:val="28"/>
        </w:rPr>
        <w:tab/>
        <w:t>Экономический потенциал региона во многом определяется региональным налоговым потенциалом. Доходная часть консолидированного бюджета Чеченской республики формируется практически полностью за счет трансфертов из федерального бюджета (в 2004г.  – 92,89%, в 2006г. – 92,63%, в 2009г. – 90,62% и  в 2012 г. – 85,12%), что свидетельствует о слабом развитии регионального налогового потенциала. По собираемости налогов и сборов на душу населения по данным на 1 ноября 2009 года Чеченская республика занимала 80 место по Российской Федерации (6</w:t>
      </w:r>
      <w:r w:rsidR="007F4AB9">
        <w:rPr>
          <w:color w:val="000000"/>
          <w:sz w:val="28"/>
          <w:szCs w:val="28"/>
        </w:rPr>
        <w:t xml:space="preserve"> </w:t>
      </w:r>
      <w:r w:rsidRPr="00C56334">
        <w:rPr>
          <w:color w:val="000000"/>
          <w:sz w:val="28"/>
          <w:szCs w:val="28"/>
        </w:rPr>
        <w:t xml:space="preserve">382,6 рублей). В экономике, как и в природе, все взаимосвязано  -  дефицит/профицит консолидированного бюджета субъекта РФ напрямую зависит от благосостояния его населения, которое в свою очередь основывается на </w:t>
      </w:r>
      <w:r w:rsidRPr="00C56334">
        <w:rPr>
          <w:color w:val="000000"/>
          <w:sz w:val="28"/>
          <w:szCs w:val="28"/>
        </w:rPr>
        <w:lastRenderedPageBreak/>
        <w:t xml:space="preserve">реальной возможности </w:t>
      </w:r>
      <w:r w:rsidRPr="00C56334">
        <w:rPr>
          <w:b/>
          <w:color w:val="000000"/>
          <w:sz w:val="28"/>
          <w:szCs w:val="28"/>
        </w:rPr>
        <w:t>зарабатывать</w:t>
      </w:r>
      <w:r w:rsidRPr="00C56334">
        <w:rPr>
          <w:color w:val="000000"/>
          <w:sz w:val="28"/>
          <w:szCs w:val="28"/>
        </w:rPr>
        <w:t xml:space="preserve">, а не </w:t>
      </w:r>
      <w:r w:rsidRPr="00C56334">
        <w:rPr>
          <w:b/>
          <w:color w:val="000000"/>
          <w:sz w:val="28"/>
          <w:szCs w:val="28"/>
        </w:rPr>
        <w:t>получать</w:t>
      </w:r>
      <w:r w:rsidRPr="00C56334">
        <w:rPr>
          <w:color w:val="000000"/>
          <w:sz w:val="28"/>
          <w:szCs w:val="28"/>
        </w:rPr>
        <w:t xml:space="preserve"> доходы.  Размер среднемесячной номинальной  начисленной заработной платы по экономике Чеченской республики существенно ниже среднего уровня по России. Так,  размер среднемесячной номинальной начисленной заработной платы  в экономике ЧР за январь-ноябрь </w:t>
      </w:r>
      <w:smartTag w:uri="urn:schemas-microsoft-com:office:smarttags" w:element="metricconverter">
        <w:smartTagPr>
          <w:attr w:name="ProductID" w:val="2009 г"/>
        </w:smartTagPr>
        <w:r w:rsidRPr="00C56334">
          <w:rPr>
            <w:color w:val="000000"/>
            <w:sz w:val="28"/>
            <w:szCs w:val="28"/>
          </w:rPr>
          <w:t>2009 г</w:t>
        </w:r>
      </w:smartTag>
      <w:r w:rsidRPr="00C56334">
        <w:rPr>
          <w:color w:val="000000"/>
          <w:sz w:val="28"/>
          <w:szCs w:val="28"/>
        </w:rPr>
        <w:t>. составлял 13 019,1 рубля, а средний уровень по Российской Федерации - 18 326,6 рубля. По данному показателю Чеченская республика занимает 54 место среди субъектов Российской Федерации.</w:t>
      </w:r>
    </w:p>
    <w:p w:rsidR="008D5D14" w:rsidRPr="00C56334" w:rsidRDefault="008D5D14" w:rsidP="00C56334">
      <w:pPr>
        <w:spacing w:after="0" w:line="360" w:lineRule="auto"/>
        <w:jc w:val="both"/>
        <w:outlineLvl w:val="0"/>
        <w:rPr>
          <w:rFonts w:ascii="Times New Roman" w:hAnsi="Times New Roman" w:cs="Times New Roman"/>
          <w:color w:val="000000"/>
          <w:sz w:val="28"/>
          <w:szCs w:val="28"/>
        </w:rPr>
      </w:pPr>
      <w:r w:rsidRPr="00C56334">
        <w:rPr>
          <w:rFonts w:ascii="Times New Roman" w:hAnsi="Times New Roman" w:cs="Times New Roman"/>
          <w:color w:val="000000"/>
          <w:sz w:val="28"/>
          <w:szCs w:val="28"/>
        </w:rPr>
        <w:tab/>
        <w:t>Таким образом, текущее состояние доходов консолидированного бюджета Чеченской республики свидетельствует о необходимости принятия более радикальных мер развития налоговых баз, практически,  по всем видам федеральных, региональных и муниципальных налогов. К тому же р</w:t>
      </w:r>
      <w:r w:rsidRPr="00C56334">
        <w:rPr>
          <w:rFonts w:ascii="Times New Roman" w:hAnsi="Times New Roman" w:cs="Times New Roman"/>
          <w:sz w:val="28"/>
          <w:szCs w:val="28"/>
        </w:rPr>
        <w:t>еализация «сложившегося» сценария развития налогового потенциала Чеченской республики невозможно из-за завершения ФЦП   «Восстановление экономики и социальной сферы Чеченской Республики» (2002 и последующие годы) и ФЦП «Социально-экономическое развитие Чеченской Республики на 2008-2012 годы». Поэтому в качестве альтернативы сложившемуся сценарию развития налогового потенциала Чеченской республики можно рассмотреть следующие два сценария:</w:t>
      </w:r>
    </w:p>
    <w:p w:rsidR="008D5D14" w:rsidRPr="00C56334" w:rsidRDefault="008D5D14" w:rsidP="00C56334">
      <w:pPr>
        <w:pStyle w:val="aa"/>
        <w:numPr>
          <w:ilvl w:val="0"/>
          <w:numId w:val="5"/>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Сценарий опережающего роста РНП, основанный на инновационном развитии экономики Чеченской Республики (</w:t>
      </w:r>
      <w:r w:rsidRPr="00C56334">
        <w:rPr>
          <w:rFonts w:ascii="Times New Roman" w:hAnsi="Times New Roman" w:cs="Times New Roman"/>
          <w:b/>
          <w:i/>
          <w:sz w:val="28"/>
          <w:szCs w:val="28"/>
        </w:rPr>
        <w:t>сценарий «лидерства»);</w:t>
      </w:r>
    </w:p>
    <w:p w:rsidR="008D5D14" w:rsidRPr="00C56334" w:rsidRDefault="008D5D14" w:rsidP="00C56334">
      <w:pPr>
        <w:pStyle w:val="aa"/>
        <w:numPr>
          <w:ilvl w:val="0"/>
          <w:numId w:val="5"/>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Сценарий развития РНП, основанный на реализации принятых инвестиционных программ развития отраслей экономики и сфер жизнедеятельности Чеченской республики (</w:t>
      </w:r>
      <w:r w:rsidRPr="00C56334">
        <w:rPr>
          <w:rFonts w:ascii="Times New Roman" w:hAnsi="Times New Roman" w:cs="Times New Roman"/>
          <w:b/>
          <w:i/>
          <w:sz w:val="28"/>
          <w:szCs w:val="28"/>
        </w:rPr>
        <w:t>сценарий «консолидации»).</w:t>
      </w:r>
      <w:r w:rsidRPr="00C56334">
        <w:rPr>
          <w:rFonts w:ascii="Times New Roman" w:hAnsi="Times New Roman" w:cs="Times New Roman"/>
          <w:sz w:val="28"/>
          <w:szCs w:val="28"/>
        </w:rPr>
        <w:t xml:space="preserve">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 xml:space="preserve">Сценарий «лидерства». </w:t>
      </w:r>
      <w:r w:rsidRPr="00C56334">
        <w:rPr>
          <w:rFonts w:ascii="Times New Roman" w:hAnsi="Times New Roman" w:cs="Times New Roman"/>
          <w:sz w:val="28"/>
          <w:szCs w:val="28"/>
        </w:rPr>
        <w:t xml:space="preserve">Суть этого сценария состоит в масштабном привлечении  отечественных и иностранных инвестиций в экономику и сохранении сложившегося  бюджетного финансирования инвестиций в основной капитал республики. Сценарий «лидерства» основывается на </w:t>
      </w:r>
      <w:r w:rsidRPr="00C56334">
        <w:rPr>
          <w:rFonts w:ascii="Times New Roman" w:hAnsi="Times New Roman" w:cs="Times New Roman"/>
          <w:sz w:val="28"/>
          <w:szCs w:val="28"/>
        </w:rPr>
        <w:lastRenderedPageBreak/>
        <w:t xml:space="preserve">постановке цели и конкретизации задач развития налоговых баз по каждому виду налогов в рамках действующего налогового законодательства на ближайшую (до пяти лет) и отдаленную (10 и более лет) перспективу. Формирование инвестиционной политики правительства Чеченской республики на средне- и </w:t>
      </w:r>
      <w:proofErr w:type="gramStart"/>
      <w:r w:rsidRPr="00C56334">
        <w:rPr>
          <w:rFonts w:ascii="Times New Roman" w:hAnsi="Times New Roman" w:cs="Times New Roman"/>
          <w:sz w:val="28"/>
          <w:szCs w:val="28"/>
        </w:rPr>
        <w:t>долгосрочный</w:t>
      </w:r>
      <w:proofErr w:type="gramEnd"/>
      <w:r w:rsidRPr="00C56334">
        <w:rPr>
          <w:rFonts w:ascii="Times New Roman" w:hAnsi="Times New Roman" w:cs="Times New Roman"/>
          <w:sz w:val="28"/>
          <w:szCs w:val="28"/>
        </w:rPr>
        <w:t xml:space="preserve"> периоды и предложений по корректировке региональной инвестиционной политики правительства Российской Федерации в рамках сценария «лидерства» должно строиться исходя из определения стратегических и тактических целей развития налогового потенциала Чеченской республики. Например: пятикратного роста налоговых доходов консолидированного бюджета Чеченской республики в течение ближайшего пятилетнего периода и десятикратного роста в течение периода до 2025 года.  </w:t>
      </w:r>
    </w:p>
    <w:p w:rsidR="008D5D1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Представленный на рис. 4 прогноз налогового потенциала Чеченской республики на период 2013-2025 гг. является демонстрацией потенциальных возможностей развития её экономики, позволяющий к 2025 году выйти на уровень самодостаточности (профицита) консолидированного бюджета Чеченской республики. Так, в 2013 году уровень регионального налогового потенциала должен быть не ниже 25,0 млрд. руб., а в 2025 году не ниже 120,0 млрд. руб. Это позволит обеспечить налоговых доходов консолидированного бюджета Чеченской республики в 2013 году не ниже 16,3 млрд. руб., а в 202</w:t>
      </w:r>
      <w:r w:rsidR="00C56334">
        <w:rPr>
          <w:rFonts w:ascii="Times New Roman" w:hAnsi="Times New Roman" w:cs="Times New Roman"/>
          <w:sz w:val="28"/>
          <w:szCs w:val="28"/>
        </w:rPr>
        <w:t>5 году не ниже 78,0 млрд. руб.</w:t>
      </w:r>
    </w:p>
    <w:p w:rsidR="00C56334" w:rsidRDefault="008D5D14" w:rsidP="00C56334">
      <w:pPr>
        <w:spacing w:after="0"/>
        <w:jc w:val="center"/>
        <w:rPr>
          <w:rFonts w:ascii="Times New Roman" w:hAnsi="Times New Roman" w:cs="Times New Roman"/>
          <w:b/>
          <w:sz w:val="28"/>
          <w:szCs w:val="28"/>
        </w:rPr>
      </w:pPr>
      <w:r w:rsidRPr="00C56334">
        <w:rPr>
          <w:rFonts w:ascii="Times New Roman" w:hAnsi="Times New Roman" w:cs="Times New Roman"/>
          <w:b/>
          <w:sz w:val="28"/>
          <w:szCs w:val="28"/>
        </w:rPr>
        <w:t xml:space="preserve">Рис. 4.  Прогноз роста налогового потенциала и налоговых доходов консолидированного бюджета Чеченской республики на период </w:t>
      </w:r>
    </w:p>
    <w:p w:rsidR="008D5D14" w:rsidRPr="00C56334" w:rsidRDefault="008D5D14" w:rsidP="00C56334">
      <w:pPr>
        <w:spacing w:after="0"/>
        <w:jc w:val="center"/>
        <w:rPr>
          <w:rFonts w:ascii="Times New Roman" w:hAnsi="Times New Roman" w:cs="Times New Roman"/>
          <w:b/>
          <w:sz w:val="28"/>
          <w:szCs w:val="28"/>
        </w:rPr>
      </w:pPr>
      <w:r w:rsidRPr="00C56334">
        <w:rPr>
          <w:rFonts w:ascii="Times New Roman" w:hAnsi="Times New Roman" w:cs="Times New Roman"/>
          <w:b/>
          <w:sz w:val="28"/>
          <w:szCs w:val="28"/>
        </w:rPr>
        <w:t>до 2025 год</w:t>
      </w:r>
    </w:p>
    <w:p w:rsidR="008D5D14" w:rsidRDefault="008D5D14" w:rsidP="008D5D14">
      <w:pPr>
        <w:jc w:val="both"/>
        <w:rPr>
          <w:rFonts w:ascii="Times New Roman" w:hAnsi="Times New Roman" w:cs="Times New Roman"/>
          <w:sz w:val="24"/>
        </w:rPr>
      </w:pPr>
      <w:r>
        <w:rPr>
          <w:rFonts w:ascii="Times New Roman" w:hAnsi="Times New Roman" w:cs="Times New Roman"/>
          <w:noProof/>
          <w:sz w:val="24"/>
          <w:lang w:eastAsia="ru-RU"/>
        </w:rPr>
        <w:drawing>
          <wp:inline distT="0" distB="0" distL="0" distR="0" wp14:anchorId="2AB4A035" wp14:editId="6E72DA9B">
            <wp:extent cx="5915278" cy="2047285"/>
            <wp:effectExtent l="0" t="0" r="9525" b="1016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D5D14" w:rsidRPr="00C56334" w:rsidRDefault="008D5D14" w:rsidP="006D0427">
      <w:pPr>
        <w:spacing w:line="360" w:lineRule="auto"/>
        <w:jc w:val="both"/>
        <w:rPr>
          <w:rFonts w:ascii="Times New Roman" w:hAnsi="Times New Roman" w:cs="Times New Roman"/>
          <w:sz w:val="28"/>
          <w:szCs w:val="28"/>
        </w:rPr>
      </w:pPr>
      <w:r>
        <w:rPr>
          <w:rFonts w:ascii="Times New Roman" w:hAnsi="Times New Roman" w:cs="Times New Roman"/>
          <w:sz w:val="24"/>
        </w:rPr>
        <w:lastRenderedPageBreak/>
        <w:tab/>
      </w:r>
      <w:r w:rsidRPr="00C56334">
        <w:rPr>
          <w:rFonts w:ascii="Times New Roman" w:hAnsi="Times New Roman" w:cs="Times New Roman"/>
          <w:sz w:val="28"/>
          <w:szCs w:val="28"/>
        </w:rPr>
        <w:t xml:space="preserve">Сценарий «лидерства» является наиболее радикальным в части развития экономики Чеченской республики. Поэтому конкретизация задач на ближайший пятилетний (2013-2017 гг.) и отдаленный (2018-2025 гг.) периоды означает определение прогнозных параметров освоения капитальных вложений (инвестиций). Прогноз потребности экономики Чеченской республики в капитальных вложениях (за счет всех источников финансирования)  для реализации сценария «лидерства» представлен в таблице № 6. Представленный прогноз составлен на основе оценки удельных капитальных вложений (инвестиций) в расчете на 1 рубль  налогового потенциала Чеченской республики, осуществленной по данным за период 2006-2010 гг. </w:t>
      </w:r>
    </w:p>
    <w:p w:rsidR="008D5D14" w:rsidRPr="00C56334" w:rsidRDefault="008D5D14" w:rsidP="008D5D14">
      <w:pPr>
        <w:jc w:val="right"/>
        <w:rPr>
          <w:rFonts w:ascii="Times New Roman" w:hAnsi="Times New Roman" w:cs="Times New Roman"/>
          <w:sz w:val="28"/>
          <w:szCs w:val="28"/>
        </w:rPr>
      </w:pPr>
      <w:r w:rsidRPr="00C56334">
        <w:rPr>
          <w:rFonts w:ascii="Times New Roman" w:hAnsi="Times New Roman" w:cs="Times New Roman"/>
          <w:sz w:val="28"/>
          <w:szCs w:val="28"/>
        </w:rPr>
        <w:t xml:space="preserve">         Таблица № 6</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 xml:space="preserve">Прогноз инвестиций в основной капитал Чеченской республики по сценарию «лидерства» развития РНП на период до 2025 года.  </w:t>
      </w:r>
    </w:p>
    <w:tbl>
      <w:tblPr>
        <w:tblStyle w:val="a9"/>
        <w:tblW w:w="0" w:type="auto"/>
        <w:tblLook w:val="04A0" w:firstRow="1" w:lastRow="0" w:firstColumn="1" w:lastColumn="0" w:noHBand="0" w:noVBand="1"/>
      </w:tblPr>
      <w:tblGrid>
        <w:gridCol w:w="1271"/>
        <w:gridCol w:w="580"/>
        <w:gridCol w:w="656"/>
        <w:gridCol w:w="656"/>
        <w:gridCol w:w="656"/>
        <w:gridCol w:w="656"/>
        <w:gridCol w:w="656"/>
        <w:gridCol w:w="656"/>
        <w:gridCol w:w="656"/>
        <w:gridCol w:w="656"/>
        <w:gridCol w:w="580"/>
        <w:gridCol w:w="656"/>
        <w:gridCol w:w="656"/>
        <w:gridCol w:w="580"/>
      </w:tblGrid>
      <w:tr w:rsidR="008D5D14" w:rsidRPr="00E0041C" w:rsidTr="008D5D14">
        <w:tc>
          <w:tcPr>
            <w:tcW w:w="1599"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Показатели</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2013</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2014</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2015</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2016</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2018</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2019</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2020</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2021</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2022</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2023</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2024</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2025</w:t>
            </w:r>
          </w:p>
        </w:tc>
      </w:tr>
      <w:tr w:rsidR="008D5D14" w:rsidRPr="00E0041C" w:rsidTr="008D5D14">
        <w:tc>
          <w:tcPr>
            <w:tcW w:w="1599" w:type="dxa"/>
          </w:tcPr>
          <w:p w:rsidR="008D5D14" w:rsidRPr="00E0041C" w:rsidRDefault="008D5D14" w:rsidP="008D5D14">
            <w:pPr>
              <w:jc w:val="both"/>
              <w:rPr>
                <w:rFonts w:ascii="Times New Roman" w:hAnsi="Times New Roman" w:cs="Times New Roman"/>
                <w:sz w:val="16"/>
              </w:rPr>
            </w:pPr>
            <w:r w:rsidRPr="00E0041C">
              <w:rPr>
                <w:rFonts w:ascii="Times New Roman" w:hAnsi="Times New Roman" w:cs="Times New Roman"/>
                <w:sz w:val="16"/>
              </w:rPr>
              <w:t>Налоговый потенциал ЧР, млрд. руб.</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25,0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35,0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45,0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55,0</w:t>
            </w:r>
          </w:p>
        </w:tc>
        <w:tc>
          <w:tcPr>
            <w:tcW w:w="614"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65,0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72,0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79,0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86,,0</w:t>
            </w:r>
          </w:p>
        </w:tc>
        <w:tc>
          <w:tcPr>
            <w:tcW w:w="614"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93,0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100,0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107,0</w:t>
            </w:r>
          </w:p>
        </w:tc>
        <w:tc>
          <w:tcPr>
            <w:tcW w:w="613"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113,0</w:t>
            </w:r>
          </w:p>
        </w:tc>
        <w:tc>
          <w:tcPr>
            <w:tcW w:w="614" w:type="dxa"/>
          </w:tcPr>
          <w:p w:rsidR="008D5D14" w:rsidRPr="00E0041C" w:rsidRDefault="008D5D14" w:rsidP="008D5D14">
            <w:pPr>
              <w:jc w:val="center"/>
              <w:rPr>
                <w:rFonts w:ascii="Times New Roman" w:hAnsi="Times New Roman" w:cs="Times New Roman"/>
                <w:sz w:val="16"/>
              </w:rPr>
            </w:pPr>
            <w:r w:rsidRPr="00E0041C">
              <w:rPr>
                <w:rFonts w:ascii="Times New Roman" w:hAnsi="Times New Roman" w:cs="Times New Roman"/>
                <w:sz w:val="16"/>
              </w:rPr>
              <w:t>120,0</w:t>
            </w:r>
          </w:p>
        </w:tc>
      </w:tr>
      <w:tr w:rsidR="008D5D14" w:rsidRPr="00E0041C" w:rsidTr="008D5D14">
        <w:tc>
          <w:tcPr>
            <w:tcW w:w="1599"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Инвестиции в основной капитал, млрд. руб.</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80,25</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112,35</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144,45</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176,55</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208,65</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231,02</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253,59</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276,06</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298,53</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321,0</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343,47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362,73</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385,2</w:t>
            </w:r>
          </w:p>
        </w:tc>
      </w:tr>
      <w:tr w:rsidR="008D5D14" w:rsidRPr="00E0041C" w:rsidTr="008D5D14">
        <w:tc>
          <w:tcPr>
            <w:tcW w:w="1599"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Прирост инвестиций в основной капитал, млрд. руб.</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32,1</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32,1</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32,1</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32,1</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22,47</w:t>
            </w:r>
          </w:p>
        </w:tc>
      </w:tr>
      <w:tr w:rsidR="008D5D14" w:rsidRPr="00E0041C" w:rsidTr="008D5D14">
        <w:tc>
          <w:tcPr>
            <w:tcW w:w="1599" w:type="dxa"/>
          </w:tcPr>
          <w:p w:rsidR="008D5D14" w:rsidRPr="00E0041C" w:rsidRDefault="008D5D14" w:rsidP="008D5D14">
            <w:pPr>
              <w:jc w:val="both"/>
              <w:rPr>
                <w:rFonts w:ascii="Times New Roman" w:hAnsi="Times New Roman" w:cs="Times New Roman"/>
                <w:b/>
                <w:sz w:val="16"/>
              </w:rPr>
            </w:pPr>
            <w:r w:rsidRPr="00E0041C">
              <w:rPr>
                <w:rFonts w:ascii="Times New Roman" w:hAnsi="Times New Roman" w:cs="Times New Roman"/>
                <w:b/>
                <w:sz w:val="16"/>
              </w:rPr>
              <w:t xml:space="preserve">Прирост объемов инвестиций к предыдущему году, </w:t>
            </w:r>
            <w:proofErr w:type="gramStart"/>
            <w:r w:rsidRPr="00E0041C">
              <w:rPr>
                <w:rFonts w:ascii="Times New Roman" w:hAnsi="Times New Roman" w:cs="Times New Roman"/>
                <w:b/>
                <w:sz w:val="16"/>
              </w:rPr>
              <w:t>в</w:t>
            </w:r>
            <w:proofErr w:type="gramEnd"/>
            <w:r w:rsidRPr="00E0041C">
              <w:rPr>
                <w:rFonts w:ascii="Times New Roman" w:hAnsi="Times New Roman" w:cs="Times New Roman"/>
                <w:b/>
                <w:sz w:val="16"/>
              </w:rPr>
              <w:t xml:space="preserve"> %</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40,0</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28,6</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22,2</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18,2</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10,8</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9,7</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8,9</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8,1</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7,5</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7,0</w:t>
            </w:r>
          </w:p>
        </w:tc>
        <w:tc>
          <w:tcPr>
            <w:tcW w:w="613"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6,5</w:t>
            </w:r>
          </w:p>
        </w:tc>
        <w:tc>
          <w:tcPr>
            <w:tcW w:w="614" w:type="dxa"/>
          </w:tcPr>
          <w:p w:rsidR="008D5D14" w:rsidRPr="00E0041C" w:rsidRDefault="008D5D14" w:rsidP="008D5D14">
            <w:pPr>
              <w:jc w:val="center"/>
              <w:rPr>
                <w:rFonts w:ascii="Times New Roman" w:hAnsi="Times New Roman" w:cs="Times New Roman"/>
                <w:b/>
                <w:sz w:val="16"/>
              </w:rPr>
            </w:pPr>
            <w:r w:rsidRPr="00E0041C">
              <w:rPr>
                <w:rFonts w:ascii="Times New Roman" w:hAnsi="Times New Roman" w:cs="Times New Roman"/>
                <w:b/>
                <w:sz w:val="16"/>
              </w:rPr>
              <w:t>6,2</w:t>
            </w:r>
          </w:p>
        </w:tc>
      </w:tr>
    </w:tbl>
    <w:p w:rsidR="008D5D14" w:rsidRDefault="008D5D14" w:rsidP="008D5D14">
      <w:pPr>
        <w:jc w:val="both"/>
        <w:rPr>
          <w:rFonts w:ascii="Times New Roman" w:hAnsi="Times New Roman" w:cs="Times New Roman"/>
          <w:sz w:val="24"/>
        </w:rPr>
      </w:pPr>
    </w:p>
    <w:p w:rsidR="008D5D14" w:rsidRPr="00C56334" w:rsidRDefault="008D5D14" w:rsidP="00C56334">
      <w:pPr>
        <w:spacing w:after="0" w:line="360" w:lineRule="auto"/>
        <w:jc w:val="both"/>
        <w:rPr>
          <w:rFonts w:ascii="Times New Roman" w:hAnsi="Times New Roman" w:cs="Times New Roman"/>
          <w:sz w:val="28"/>
          <w:szCs w:val="28"/>
        </w:rPr>
      </w:pPr>
      <w:r>
        <w:rPr>
          <w:rFonts w:ascii="Times New Roman" w:hAnsi="Times New Roman" w:cs="Times New Roman"/>
          <w:sz w:val="24"/>
        </w:rPr>
        <w:tab/>
      </w:r>
      <w:r w:rsidRPr="00C56334">
        <w:rPr>
          <w:rFonts w:ascii="Times New Roman" w:hAnsi="Times New Roman" w:cs="Times New Roman"/>
          <w:sz w:val="28"/>
          <w:szCs w:val="28"/>
        </w:rPr>
        <w:t xml:space="preserve">Реалистичность сценария «лидерства» в развитии налогового потенциала Чеченской республики имеет не высокую вероятность  -  не превышает 10 процентов. Инвестиции (по всем источникам финансирования) в основной капитал Чеченской республики в 2000-х годах в расчете на душу населения осуществлялись меньше чем в среднем по субъектам РФ. По источникам финансирования инвестиции в Чеченской республике  осуществлялись </w:t>
      </w:r>
      <w:proofErr w:type="gramStart"/>
      <w:r w:rsidRPr="00C56334">
        <w:rPr>
          <w:rFonts w:ascii="Times New Roman" w:hAnsi="Times New Roman" w:cs="Times New Roman"/>
          <w:sz w:val="28"/>
          <w:szCs w:val="28"/>
        </w:rPr>
        <w:t xml:space="preserve">в отличие от инвестиций по Российской Федерации в целом  </w:t>
      </w:r>
      <w:r w:rsidRPr="00C56334">
        <w:rPr>
          <w:rFonts w:ascii="Times New Roman" w:hAnsi="Times New Roman" w:cs="Times New Roman"/>
          <w:sz w:val="28"/>
          <w:szCs w:val="28"/>
        </w:rPr>
        <w:lastRenderedPageBreak/>
        <w:t>преимущественно за счет</w:t>
      </w:r>
      <w:proofErr w:type="gramEnd"/>
      <w:r w:rsidRPr="00C56334">
        <w:rPr>
          <w:rFonts w:ascii="Times New Roman" w:hAnsi="Times New Roman" w:cs="Times New Roman"/>
          <w:sz w:val="28"/>
          <w:szCs w:val="28"/>
        </w:rPr>
        <w:t xml:space="preserve"> бюджетных средств и средств государственных внебюджетных фондов. Так,  их доля в 2007 г. составила  94,7%, в 2008 г. – 91,9%,  в 2009 г. – 82,0% и в 2010 г. – 76,3%.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Сценарий «лидерства» рассчитан на инновационный характер развития экономики и налогового потенциала Чеченской Республики, включая инновации по источникам привлечения инвестиций. По сценарию «лидерства» ежегодный прирост инвестиций в ближайшем пятилетнем периоде составляет 32,1 млрд. руб. и в период 2018-2025 гг. на уровне 22,5 млрд. руб.</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 то есть заложен убывающий тренд доли привлечения ежегодных инвестиций с 40,0% до 18,0%  в течение 2013-2017 гг. и с 11,0% до 6,0% в течение 2018-2025 гг.</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Вывод</w:t>
      </w:r>
      <w:r w:rsidRPr="00C56334">
        <w:rPr>
          <w:rFonts w:ascii="Times New Roman" w:hAnsi="Times New Roman" w:cs="Times New Roman"/>
          <w:sz w:val="28"/>
          <w:szCs w:val="28"/>
        </w:rPr>
        <w:t>:  Реализация сценария «лидерства» требует кардинальных изменений:</w:t>
      </w:r>
    </w:p>
    <w:p w:rsidR="008D5D14" w:rsidRPr="00C56334" w:rsidRDefault="008D5D14" w:rsidP="00C56334">
      <w:pPr>
        <w:pStyle w:val="aa"/>
        <w:numPr>
          <w:ilvl w:val="0"/>
          <w:numId w:val="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в инвестиционном климате Чеченской республики - безопасность, инфраструктура (прежде всего финансовой, включая банковский сектор), налоговые льготы и т.д.;</w:t>
      </w:r>
    </w:p>
    <w:p w:rsidR="008D5D14" w:rsidRPr="00C56334" w:rsidRDefault="008D5D14" w:rsidP="00C56334">
      <w:pPr>
        <w:pStyle w:val="aa"/>
        <w:numPr>
          <w:ilvl w:val="0"/>
          <w:numId w:val="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в инвестиционной привлекательности объектов капитальных вложений для потенциальных российских и иностранных инвесторов - доступность, доходность и т.д.</w:t>
      </w:r>
    </w:p>
    <w:p w:rsidR="008D5D1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 xml:space="preserve">Сценарий «консолидации». </w:t>
      </w:r>
      <w:r w:rsidRPr="00C56334">
        <w:rPr>
          <w:rFonts w:ascii="Times New Roman" w:hAnsi="Times New Roman" w:cs="Times New Roman"/>
          <w:sz w:val="28"/>
          <w:szCs w:val="28"/>
        </w:rPr>
        <w:t xml:space="preserve">Этот сценарий развития налогового потенциала Чеченской республики, считается наиболее вероятным. Он основан на осуществлении инвестиций в соответствие с принятыми целевыми инвестиционными программами развития различных сфер деятельности и объектов на территории Чеченской республики. По состоянию на 1 марта 2013 года в Чеченской республике принято 49 республиканских целевых программ,  предусматривающие в течение 2013-2023 гг. инвестиции (по всем источникам финансирования) в объеме 62,3 млрд. руб., представленные в Приложении №2. </w:t>
      </w:r>
    </w:p>
    <w:p w:rsidR="00C56334" w:rsidRDefault="00C56334" w:rsidP="00C56334">
      <w:pPr>
        <w:spacing w:after="0" w:line="360" w:lineRule="auto"/>
        <w:jc w:val="both"/>
        <w:rPr>
          <w:rFonts w:ascii="Times New Roman" w:hAnsi="Times New Roman" w:cs="Times New Roman"/>
          <w:sz w:val="28"/>
          <w:szCs w:val="28"/>
        </w:rPr>
      </w:pPr>
    </w:p>
    <w:p w:rsidR="00C56334" w:rsidRDefault="00C56334" w:rsidP="00C56334">
      <w:pPr>
        <w:spacing w:after="0" w:line="360" w:lineRule="auto"/>
        <w:jc w:val="both"/>
        <w:rPr>
          <w:rFonts w:ascii="Times New Roman" w:hAnsi="Times New Roman" w:cs="Times New Roman"/>
          <w:sz w:val="28"/>
          <w:szCs w:val="28"/>
        </w:rPr>
      </w:pPr>
    </w:p>
    <w:p w:rsidR="00C56334" w:rsidRPr="00C56334" w:rsidRDefault="00C56334" w:rsidP="00C56334">
      <w:pPr>
        <w:spacing w:after="0" w:line="360" w:lineRule="auto"/>
        <w:jc w:val="both"/>
        <w:rPr>
          <w:rFonts w:ascii="Times New Roman" w:hAnsi="Times New Roman" w:cs="Times New Roman"/>
          <w:sz w:val="28"/>
          <w:szCs w:val="28"/>
        </w:rPr>
      </w:pPr>
    </w:p>
    <w:p w:rsidR="008D5D14" w:rsidRPr="00C56334" w:rsidRDefault="008D5D14" w:rsidP="00C56334">
      <w:pPr>
        <w:spacing w:after="0" w:line="360" w:lineRule="auto"/>
        <w:jc w:val="right"/>
        <w:rPr>
          <w:rFonts w:ascii="Times New Roman" w:hAnsi="Times New Roman" w:cs="Times New Roman"/>
          <w:sz w:val="28"/>
          <w:szCs w:val="28"/>
        </w:rPr>
      </w:pPr>
      <w:r w:rsidRPr="00C56334">
        <w:rPr>
          <w:rFonts w:ascii="Times New Roman" w:hAnsi="Times New Roman" w:cs="Times New Roman"/>
          <w:sz w:val="28"/>
          <w:szCs w:val="28"/>
        </w:rPr>
        <w:lastRenderedPageBreak/>
        <w:t>Таблица № 7</w:t>
      </w:r>
    </w:p>
    <w:p w:rsidR="008D5D14" w:rsidRPr="00C56334" w:rsidRDefault="008D5D14" w:rsidP="00C56334">
      <w:pPr>
        <w:spacing w:after="0" w:line="240" w:lineRule="auto"/>
        <w:jc w:val="center"/>
        <w:rPr>
          <w:rFonts w:ascii="Times New Roman" w:hAnsi="Times New Roman" w:cs="Times New Roman"/>
          <w:b/>
          <w:sz w:val="28"/>
          <w:szCs w:val="28"/>
        </w:rPr>
      </w:pPr>
      <w:proofErr w:type="gramStart"/>
      <w:r w:rsidRPr="00C56334">
        <w:rPr>
          <w:rFonts w:ascii="Times New Roman" w:hAnsi="Times New Roman" w:cs="Times New Roman"/>
          <w:b/>
          <w:sz w:val="28"/>
          <w:szCs w:val="28"/>
        </w:rPr>
        <w:t>Инвестиции (за счет всех источников финансирования) в основной капитал ЧР в соответствии с федеральной и республиканскими целевыми программами</w:t>
      </w:r>
      <w:r w:rsidR="00C56334">
        <w:rPr>
          <w:rFonts w:ascii="Times New Roman" w:hAnsi="Times New Roman" w:cs="Times New Roman"/>
          <w:b/>
          <w:sz w:val="28"/>
          <w:szCs w:val="28"/>
        </w:rPr>
        <w:t xml:space="preserve"> </w:t>
      </w:r>
      <w:r w:rsidRPr="00C56334">
        <w:rPr>
          <w:rFonts w:ascii="Times New Roman" w:hAnsi="Times New Roman" w:cs="Times New Roman"/>
          <w:b/>
          <w:sz w:val="28"/>
          <w:szCs w:val="28"/>
        </w:rPr>
        <w:t>на 2013-2020 гг.</w:t>
      </w:r>
      <w:proofErr w:type="gramEnd"/>
    </w:p>
    <w:tbl>
      <w:tblPr>
        <w:tblStyle w:val="a9"/>
        <w:tblW w:w="0" w:type="auto"/>
        <w:tblInd w:w="108" w:type="dxa"/>
        <w:tblLook w:val="04A0" w:firstRow="1" w:lastRow="0" w:firstColumn="1" w:lastColumn="0" w:noHBand="0" w:noVBand="1"/>
      </w:tblPr>
      <w:tblGrid>
        <w:gridCol w:w="1985"/>
        <w:gridCol w:w="931"/>
        <w:gridCol w:w="931"/>
        <w:gridCol w:w="931"/>
        <w:gridCol w:w="931"/>
        <w:gridCol w:w="931"/>
        <w:gridCol w:w="941"/>
        <w:gridCol w:w="941"/>
        <w:gridCol w:w="941"/>
      </w:tblGrid>
      <w:tr w:rsidR="008D5D14" w:rsidRPr="00EA1437" w:rsidTr="008D5D14">
        <w:tc>
          <w:tcPr>
            <w:tcW w:w="1985"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Наименование</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2013</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2014</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2015</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2016</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2017</w:t>
            </w:r>
          </w:p>
        </w:tc>
        <w:tc>
          <w:tcPr>
            <w:tcW w:w="94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2018</w:t>
            </w:r>
          </w:p>
        </w:tc>
        <w:tc>
          <w:tcPr>
            <w:tcW w:w="94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2019</w:t>
            </w:r>
          </w:p>
        </w:tc>
        <w:tc>
          <w:tcPr>
            <w:tcW w:w="94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jc w:val="center"/>
              <w:rPr>
                <w:rFonts w:ascii="Times New Roman" w:hAnsi="Times New Roman" w:cs="Times New Roman"/>
                <w:b/>
              </w:rPr>
            </w:pPr>
            <w:r w:rsidRPr="00EA1437">
              <w:rPr>
                <w:rFonts w:ascii="Times New Roman" w:hAnsi="Times New Roman" w:cs="Times New Roman"/>
                <w:b/>
              </w:rPr>
              <w:t>2020</w:t>
            </w:r>
          </w:p>
        </w:tc>
      </w:tr>
      <w:tr w:rsidR="008D5D14" w:rsidRPr="00EA1437" w:rsidTr="008D5D14">
        <w:tc>
          <w:tcPr>
            <w:tcW w:w="1985"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FF3393">
              <w:rPr>
                <w:rFonts w:ascii="Times New Roman" w:eastAsia="Times New Roman" w:hAnsi="Times New Roman" w:cs="Times New Roman"/>
                <w:bCs/>
                <w:sz w:val="20"/>
                <w:lang w:eastAsia="ru-RU"/>
              </w:rPr>
              <w:t xml:space="preserve">1. </w:t>
            </w:r>
            <w:proofErr w:type="gramStart"/>
            <w:r w:rsidRPr="00FF3393">
              <w:rPr>
                <w:rFonts w:ascii="Times New Roman" w:eastAsia="Times New Roman" w:hAnsi="Times New Roman" w:cs="Times New Roman"/>
                <w:bCs/>
                <w:sz w:val="20"/>
                <w:lang w:eastAsia="ru-RU"/>
              </w:rPr>
              <w:t>Государственная программы "Развитие  Северо-Кавказского федерального округа", млн. руб.</w:t>
            </w:r>
            <w:proofErr w:type="gramEnd"/>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5172,1</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6043,2</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5514,2</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8669,1</w:t>
            </w:r>
          </w:p>
        </w:tc>
        <w:tc>
          <w:tcPr>
            <w:tcW w:w="93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9027,7</w:t>
            </w:r>
          </w:p>
        </w:tc>
        <w:tc>
          <w:tcPr>
            <w:tcW w:w="94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10262,6</w:t>
            </w:r>
          </w:p>
        </w:tc>
        <w:tc>
          <w:tcPr>
            <w:tcW w:w="94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11228,6</w:t>
            </w:r>
          </w:p>
        </w:tc>
        <w:tc>
          <w:tcPr>
            <w:tcW w:w="941"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EA1437">
              <w:rPr>
                <w:rFonts w:ascii="Times New Roman" w:hAnsi="Times New Roman" w:cs="Times New Roman"/>
              </w:rPr>
              <w:t>11754,2</w:t>
            </w:r>
          </w:p>
        </w:tc>
      </w:tr>
      <w:tr w:rsidR="008D5D14" w:rsidRPr="00EA1437" w:rsidTr="008D5D14">
        <w:tc>
          <w:tcPr>
            <w:tcW w:w="1985" w:type="dxa"/>
            <w:tcBorders>
              <w:top w:val="single" w:sz="4" w:space="0" w:color="auto"/>
              <w:left w:val="single" w:sz="4" w:space="0" w:color="auto"/>
              <w:bottom w:val="single" w:sz="4" w:space="0" w:color="auto"/>
              <w:right w:val="single" w:sz="4" w:space="0" w:color="auto"/>
            </w:tcBorders>
            <w:hideMark/>
          </w:tcPr>
          <w:p w:rsidR="008D5D14" w:rsidRPr="00EA1437" w:rsidRDefault="008D5D14" w:rsidP="008D5D14">
            <w:pPr>
              <w:rPr>
                <w:rFonts w:ascii="Times New Roman" w:hAnsi="Times New Roman" w:cs="Times New Roman"/>
              </w:rPr>
            </w:pPr>
            <w:r w:rsidRPr="00FF3393">
              <w:rPr>
                <w:rFonts w:ascii="Times New Roman" w:hAnsi="Times New Roman" w:cs="Times New Roman"/>
                <w:sz w:val="20"/>
              </w:rPr>
              <w:t>2. Республиканские целевые программы (всего - 49), млн. руб.</w:t>
            </w:r>
          </w:p>
        </w:tc>
        <w:tc>
          <w:tcPr>
            <w:tcW w:w="93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16892,6</w:t>
            </w:r>
          </w:p>
        </w:tc>
        <w:tc>
          <w:tcPr>
            <w:tcW w:w="93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15027,2</w:t>
            </w:r>
          </w:p>
        </w:tc>
        <w:tc>
          <w:tcPr>
            <w:tcW w:w="93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8071,5</w:t>
            </w:r>
          </w:p>
        </w:tc>
        <w:tc>
          <w:tcPr>
            <w:tcW w:w="93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4668,8</w:t>
            </w:r>
          </w:p>
        </w:tc>
        <w:tc>
          <w:tcPr>
            <w:tcW w:w="93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5500,6</w:t>
            </w:r>
          </w:p>
        </w:tc>
        <w:tc>
          <w:tcPr>
            <w:tcW w:w="94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4478,3</w:t>
            </w:r>
          </w:p>
        </w:tc>
        <w:tc>
          <w:tcPr>
            <w:tcW w:w="94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4004,5</w:t>
            </w:r>
          </w:p>
        </w:tc>
        <w:tc>
          <w:tcPr>
            <w:tcW w:w="941" w:type="dxa"/>
            <w:tcBorders>
              <w:top w:val="single" w:sz="4" w:space="0" w:color="auto"/>
              <w:left w:val="single" w:sz="4" w:space="0" w:color="auto"/>
              <w:bottom w:val="single" w:sz="4" w:space="0" w:color="auto"/>
              <w:right w:val="single" w:sz="4" w:space="0" w:color="auto"/>
            </w:tcBorders>
          </w:tcPr>
          <w:p w:rsidR="008D5D14" w:rsidRPr="008159CF" w:rsidRDefault="008D5D14" w:rsidP="008D5D14">
            <w:pPr>
              <w:jc w:val="center"/>
              <w:rPr>
                <w:rFonts w:ascii="Times New Roman" w:hAnsi="Times New Roman" w:cs="Times New Roman"/>
                <w:b/>
                <w:sz w:val="20"/>
                <w:szCs w:val="20"/>
              </w:rPr>
            </w:pPr>
            <w:r w:rsidRPr="008159CF">
              <w:rPr>
                <w:rFonts w:ascii="Times New Roman" w:hAnsi="Times New Roman" w:cs="Times New Roman"/>
                <w:b/>
                <w:sz w:val="20"/>
                <w:szCs w:val="20"/>
              </w:rPr>
              <w:t>3413,3</w:t>
            </w:r>
          </w:p>
        </w:tc>
      </w:tr>
      <w:tr w:rsidR="008D5D14" w:rsidRPr="00EA1437" w:rsidTr="008D5D14">
        <w:tc>
          <w:tcPr>
            <w:tcW w:w="1985" w:type="dxa"/>
            <w:tcBorders>
              <w:top w:val="single" w:sz="4" w:space="0" w:color="auto"/>
              <w:left w:val="single" w:sz="4" w:space="0" w:color="auto"/>
              <w:bottom w:val="single" w:sz="4" w:space="0" w:color="auto"/>
              <w:right w:val="single" w:sz="4" w:space="0" w:color="auto"/>
            </w:tcBorders>
            <w:hideMark/>
          </w:tcPr>
          <w:p w:rsidR="008D5D14" w:rsidRPr="00FF3393" w:rsidRDefault="008D5D14" w:rsidP="008D5D14">
            <w:pPr>
              <w:rPr>
                <w:rFonts w:ascii="Times New Roman" w:hAnsi="Times New Roman" w:cs="Times New Roman"/>
                <w:sz w:val="20"/>
              </w:rPr>
            </w:pPr>
            <w:r w:rsidRPr="00FF3393">
              <w:rPr>
                <w:rFonts w:ascii="Times New Roman" w:hAnsi="Times New Roman" w:cs="Times New Roman"/>
                <w:sz w:val="20"/>
              </w:rPr>
              <w:t>3. Итого инвестиций по ЧР, всего</w:t>
            </w:r>
          </w:p>
          <w:p w:rsidR="008D5D14" w:rsidRPr="00EA1437" w:rsidRDefault="008D5D14" w:rsidP="008D5D14">
            <w:pPr>
              <w:rPr>
                <w:rFonts w:ascii="Times New Roman" w:hAnsi="Times New Roman" w:cs="Times New Roman"/>
              </w:rPr>
            </w:pPr>
            <w:r w:rsidRPr="00FF3393">
              <w:rPr>
                <w:rFonts w:ascii="Times New Roman" w:hAnsi="Times New Roman" w:cs="Times New Roman"/>
                <w:sz w:val="20"/>
              </w:rPr>
              <w:t xml:space="preserve"> млн. руб.</w:t>
            </w:r>
          </w:p>
        </w:tc>
        <w:tc>
          <w:tcPr>
            <w:tcW w:w="93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22064,7</w:t>
            </w:r>
          </w:p>
        </w:tc>
        <w:tc>
          <w:tcPr>
            <w:tcW w:w="93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21070,4</w:t>
            </w:r>
          </w:p>
        </w:tc>
        <w:tc>
          <w:tcPr>
            <w:tcW w:w="93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13585,7</w:t>
            </w:r>
          </w:p>
        </w:tc>
        <w:tc>
          <w:tcPr>
            <w:tcW w:w="93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13337,9</w:t>
            </w:r>
          </w:p>
        </w:tc>
        <w:tc>
          <w:tcPr>
            <w:tcW w:w="93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14528,3</w:t>
            </w:r>
          </w:p>
        </w:tc>
        <w:tc>
          <w:tcPr>
            <w:tcW w:w="94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14740,9</w:t>
            </w:r>
          </w:p>
        </w:tc>
        <w:tc>
          <w:tcPr>
            <w:tcW w:w="94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15233,1</w:t>
            </w:r>
          </w:p>
        </w:tc>
        <w:tc>
          <w:tcPr>
            <w:tcW w:w="941" w:type="dxa"/>
            <w:tcBorders>
              <w:top w:val="single" w:sz="4" w:space="0" w:color="auto"/>
              <w:left w:val="single" w:sz="4" w:space="0" w:color="auto"/>
              <w:bottom w:val="single" w:sz="4" w:space="0" w:color="auto"/>
              <w:right w:val="single" w:sz="4" w:space="0" w:color="auto"/>
            </w:tcBorders>
          </w:tcPr>
          <w:p w:rsidR="008D5D14" w:rsidRPr="00EA1437" w:rsidRDefault="008D5D14" w:rsidP="008D5D14">
            <w:pPr>
              <w:rPr>
                <w:rFonts w:ascii="Times New Roman" w:hAnsi="Times New Roman" w:cs="Times New Roman"/>
                <w:b/>
              </w:rPr>
            </w:pPr>
            <w:r>
              <w:rPr>
                <w:rFonts w:ascii="Times New Roman" w:hAnsi="Times New Roman" w:cs="Times New Roman"/>
                <w:b/>
              </w:rPr>
              <w:t>15167,5</w:t>
            </w:r>
          </w:p>
        </w:tc>
      </w:tr>
    </w:tbl>
    <w:p w:rsidR="008D5D14" w:rsidRDefault="008D5D14" w:rsidP="008D5D14">
      <w:pPr>
        <w:jc w:val="both"/>
        <w:rPr>
          <w:rFonts w:ascii="Times New Roman" w:hAnsi="Times New Roman" w:cs="Times New Roman"/>
          <w:sz w:val="24"/>
        </w:rPr>
      </w:pPr>
    </w:p>
    <w:p w:rsidR="008D5D14" w:rsidRPr="00C56334" w:rsidRDefault="00C5633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r>
      <w:r w:rsidR="008D5D14" w:rsidRPr="00C56334">
        <w:rPr>
          <w:rFonts w:ascii="Times New Roman" w:hAnsi="Times New Roman" w:cs="Times New Roman"/>
          <w:sz w:val="28"/>
          <w:szCs w:val="28"/>
        </w:rPr>
        <w:t xml:space="preserve">В рамках Подпрограммы 5 </w:t>
      </w:r>
      <w:r w:rsidR="008D5D14" w:rsidRPr="00C56334">
        <w:rPr>
          <w:rFonts w:ascii="Times New Roman" w:eastAsia="Times New Roman" w:hAnsi="Times New Roman" w:cs="Times New Roman"/>
          <w:bCs/>
          <w:sz w:val="28"/>
          <w:szCs w:val="28"/>
          <w:lang w:eastAsia="ru-RU"/>
        </w:rPr>
        <w:t xml:space="preserve">"Обеспечение устойчивого развития Чеченской Республики"  </w:t>
      </w:r>
      <w:r w:rsidR="008D5D14" w:rsidRPr="00C56334">
        <w:rPr>
          <w:rFonts w:ascii="Times New Roman" w:hAnsi="Times New Roman" w:cs="Times New Roman"/>
          <w:sz w:val="28"/>
          <w:szCs w:val="28"/>
        </w:rPr>
        <w:t>Государственной программы «Развитие Северо-Кавказского федерального округа на период 2013 - 2020 гг. предусмотрены инвестиции в объеме 67,7 млрд. руб. (см. рис.7).</w:t>
      </w:r>
    </w:p>
    <w:p w:rsidR="008D5D1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Если исходить из сложившегося за период 2006-2010 гг. уровня эластичности налогового потенциала ЧР к инвестициям в основной капитал, то прогноз развития налогового потенциала и налоговых доходов консолидированного бюджета Чеченской республики по сценарию «консолидации» будет иметь вид, представленный в таблице №8.</w:t>
      </w:r>
    </w:p>
    <w:p w:rsidR="008D5D14" w:rsidRPr="00C56334" w:rsidRDefault="008D5D14" w:rsidP="00C56334">
      <w:pPr>
        <w:spacing w:after="0" w:line="360" w:lineRule="auto"/>
        <w:jc w:val="right"/>
        <w:rPr>
          <w:rFonts w:ascii="Times New Roman" w:hAnsi="Times New Roman" w:cs="Times New Roman"/>
          <w:sz w:val="28"/>
          <w:szCs w:val="28"/>
        </w:rPr>
      </w:pPr>
      <w:r w:rsidRPr="00C56334">
        <w:rPr>
          <w:rFonts w:ascii="Times New Roman" w:hAnsi="Times New Roman" w:cs="Times New Roman"/>
          <w:sz w:val="28"/>
          <w:szCs w:val="28"/>
        </w:rPr>
        <w:t xml:space="preserve"> Таблица № 8</w:t>
      </w:r>
    </w:p>
    <w:p w:rsidR="00C56334" w:rsidRDefault="008D5D14" w:rsidP="00C56334">
      <w:pPr>
        <w:spacing w:after="0" w:line="240" w:lineRule="auto"/>
        <w:jc w:val="center"/>
        <w:rPr>
          <w:rFonts w:ascii="Times New Roman" w:hAnsi="Times New Roman" w:cs="Times New Roman"/>
          <w:b/>
          <w:sz w:val="28"/>
          <w:szCs w:val="28"/>
        </w:rPr>
      </w:pPr>
      <w:r w:rsidRPr="00C56334">
        <w:rPr>
          <w:rFonts w:ascii="Times New Roman" w:hAnsi="Times New Roman" w:cs="Times New Roman"/>
          <w:b/>
          <w:sz w:val="28"/>
          <w:szCs w:val="28"/>
        </w:rPr>
        <w:t xml:space="preserve">Прогноз развития налогового потенциала и налоговых доходов в консолидированный бюджет Чеченской республики </w:t>
      </w:r>
    </w:p>
    <w:p w:rsidR="008D5D14" w:rsidRPr="00C56334" w:rsidRDefault="008D5D14" w:rsidP="00C56334">
      <w:pPr>
        <w:spacing w:after="0" w:line="240" w:lineRule="auto"/>
        <w:jc w:val="center"/>
        <w:rPr>
          <w:rFonts w:ascii="Times New Roman" w:hAnsi="Times New Roman" w:cs="Times New Roman"/>
          <w:b/>
          <w:sz w:val="28"/>
          <w:szCs w:val="28"/>
        </w:rPr>
      </w:pPr>
      <w:r w:rsidRPr="00C56334">
        <w:rPr>
          <w:rFonts w:ascii="Times New Roman" w:hAnsi="Times New Roman" w:cs="Times New Roman"/>
          <w:b/>
          <w:sz w:val="28"/>
          <w:szCs w:val="28"/>
        </w:rPr>
        <w:t>на период 2013-2020 гг.</w:t>
      </w:r>
    </w:p>
    <w:tbl>
      <w:tblPr>
        <w:tblStyle w:val="a9"/>
        <w:tblW w:w="0" w:type="auto"/>
        <w:tblInd w:w="108" w:type="dxa"/>
        <w:tblLayout w:type="fixed"/>
        <w:tblLook w:val="04A0" w:firstRow="1" w:lastRow="0" w:firstColumn="1" w:lastColumn="0" w:noHBand="0" w:noVBand="1"/>
      </w:tblPr>
      <w:tblGrid>
        <w:gridCol w:w="2129"/>
        <w:gridCol w:w="814"/>
        <w:gridCol w:w="815"/>
        <w:gridCol w:w="815"/>
        <w:gridCol w:w="815"/>
        <w:gridCol w:w="815"/>
        <w:gridCol w:w="815"/>
        <w:gridCol w:w="815"/>
        <w:gridCol w:w="815"/>
        <w:gridCol w:w="815"/>
      </w:tblGrid>
      <w:tr w:rsidR="008D5D14" w:rsidTr="008D5D14">
        <w:trPr>
          <w:trHeight w:val="309"/>
        </w:trPr>
        <w:tc>
          <w:tcPr>
            <w:tcW w:w="2129" w:type="dxa"/>
            <w:vMerge w:val="restart"/>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b/>
                <w:sz w:val="20"/>
              </w:rPr>
            </w:pPr>
            <w:r>
              <w:rPr>
                <w:rFonts w:ascii="Times New Roman" w:hAnsi="Times New Roman" w:cs="Times New Roman"/>
                <w:b/>
                <w:sz w:val="20"/>
              </w:rPr>
              <w:t>Наименование</w:t>
            </w:r>
          </w:p>
        </w:tc>
        <w:tc>
          <w:tcPr>
            <w:tcW w:w="814" w:type="dxa"/>
            <w:vMerge w:val="restart"/>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b/>
                <w:sz w:val="20"/>
              </w:rPr>
            </w:pPr>
            <w:r>
              <w:rPr>
                <w:rFonts w:ascii="Times New Roman" w:hAnsi="Times New Roman" w:cs="Times New Roman"/>
                <w:b/>
                <w:sz w:val="20"/>
              </w:rPr>
              <w:t>2012</w:t>
            </w:r>
          </w:p>
          <w:p w:rsidR="008D5D14" w:rsidRDefault="008D5D14" w:rsidP="008D5D14">
            <w:pPr>
              <w:jc w:val="center"/>
              <w:rPr>
                <w:rFonts w:ascii="Times New Roman" w:hAnsi="Times New Roman" w:cs="Times New Roman"/>
                <w:b/>
                <w:sz w:val="20"/>
              </w:rPr>
            </w:pPr>
            <w:r>
              <w:rPr>
                <w:rFonts w:ascii="Times New Roman" w:hAnsi="Times New Roman" w:cs="Times New Roman"/>
                <w:b/>
                <w:sz w:val="20"/>
              </w:rPr>
              <w:t>факт.</w:t>
            </w:r>
          </w:p>
        </w:tc>
        <w:tc>
          <w:tcPr>
            <w:tcW w:w="6520" w:type="dxa"/>
            <w:gridSpan w:val="8"/>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b/>
                <w:sz w:val="20"/>
              </w:rPr>
            </w:pPr>
            <w:r>
              <w:rPr>
                <w:rFonts w:ascii="Times New Roman" w:hAnsi="Times New Roman" w:cs="Times New Roman"/>
                <w:b/>
                <w:sz w:val="20"/>
              </w:rPr>
              <w:t>Прогноз</w:t>
            </w:r>
          </w:p>
        </w:tc>
      </w:tr>
      <w:tr w:rsidR="008D5D14" w:rsidTr="008D5D14">
        <w:trPr>
          <w:trHeight w:val="514"/>
        </w:trPr>
        <w:tc>
          <w:tcPr>
            <w:tcW w:w="2129" w:type="dxa"/>
            <w:vMerge/>
            <w:tcBorders>
              <w:top w:val="single" w:sz="4" w:space="0" w:color="auto"/>
              <w:left w:val="single" w:sz="4" w:space="0" w:color="auto"/>
              <w:bottom w:val="single" w:sz="4" w:space="0" w:color="auto"/>
              <w:right w:val="single" w:sz="4" w:space="0" w:color="auto"/>
            </w:tcBorders>
            <w:vAlign w:val="center"/>
            <w:hideMark/>
          </w:tcPr>
          <w:p w:rsidR="008D5D14" w:rsidRDefault="008D5D14" w:rsidP="008D5D14">
            <w:pPr>
              <w:rPr>
                <w:rFonts w:ascii="Times New Roman" w:hAnsi="Times New Roman" w:cs="Times New Roman"/>
                <w:b/>
                <w:sz w:val="20"/>
              </w:rPr>
            </w:pPr>
          </w:p>
        </w:tc>
        <w:tc>
          <w:tcPr>
            <w:tcW w:w="814" w:type="dxa"/>
            <w:vMerge/>
            <w:tcBorders>
              <w:top w:val="single" w:sz="4" w:space="0" w:color="auto"/>
              <w:left w:val="single" w:sz="4" w:space="0" w:color="auto"/>
              <w:bottom w:val="single" w:sz="4" w:space="0" w:color="auto"/>
              <w:right w:val="single" w:sz="4" w:space="0" w:color="auto"/>
            </w:tcBorders>
            <w:vAlign w:val="center"/>
            <w:hideMark/>
          </w:tcPr>
          <w:p w:rsidR="008D5D14" w:rsidRDefault="008D5D14" w:rsidP="008D5D14">
            <w:pPr>
              <w:rPr>
                <w:rFonts w:ascii="Times New Roman" w:hAnsi="Times New Roman" w:cs="Times New Roman"/>
                <w:b/>
                <w:sz w:val="20"/>
              </w:rPr>
            </w:pPr>
          </w:p>
        </w:tc>
        <w:tc>
          <w:tcPr>
            <w:tcW w:w="815"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rPr>
              <w:t>2013</w:t>
            </w:r>
          </w:p>
          <w:p w:rsidR="008D5D14" w:rsidRDefault="008D5D14" w:rsidP="008D5D14">
            <w:pPr>
              <w:jc w:val="center"/>
              <w:rPr>
                <w:rFonts w:ascii="Times New Roman" w:hAnsi="Times New Roman" w:cs="Times New Roman"/>
                <w:sz w:val="20"/>
              </w:rPr>
            </w:pP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2014</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2015</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2016</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2017</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2018</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2019</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2020</w:t>
            </w:r>
          </w:p>
        </w:tc>
      </w:tr>
      <w:tr w:rsidR="008D5D14" w:rsidTr="008D5D14">
        <w:tc>
          <w:tcPr>
            <w:tcW w:w="2129"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sz w:val="20"/>
              </w:rPr>
            </w:pPr>
            <w:r>
              <w:rPr>
                <w:rFonts w:ascii="Times New Roman" w:hAnsi="Times New Roman" w:cs="Times New Roman"/>
                <w:sz w:val="20"/>
              </w:rPr>
              <w:t>Налоговый потенциал Чеченской Республики,    млн. руб.</w:t>
            </w:r>
          </w:p>
        </w:tc>
        <w:tc>
          <w:tcPr>
            <w:tcW w:w="814"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color w:val="000000"/>
                <w:sz w:val="20"/>
                <w:szCs w:val="24"/>
              </w:rPr>
              <w:t>18282,7</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24726,9</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30502,3</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34153,1</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37962,8</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42162,0</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46452,1</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50855,7</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55270,6</w:t>
            </w:r>
          </w:p>
        </w:tc>
      </w:tr>
      <w:tr w:rsidR="008D5D14" w:rsidTr="008D5D14">
        <w:tc>
          <w:tcPr>
            <w:tcW w:w="2129"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sz w:val="20"/>
              </w:rPr>
            </w:pPr>
            <w:r>
              <w:rPr>
                <w:rFonts w:ascii="Times New Roman" w:hAnsi="Times New Roman" w:cs="Times New Roman"/>
                <w:sz w:val="20"/>
              </w:rPr>
              <w:t>Налоговые доходы  консолидированного бюджета ЧР,            млн. руб.</w:t>
            </w:r>
          </w:p>
        </w:tc>
        <w:tc>
          <w:tcPr>
            <w:tcW w:w="814"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sz w:val="20"/>
              </w:rPr>
              <w:t>11261,3</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16024,8</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20516,3</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23463,0</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t>26603,7</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30135,0</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lang w:val="en-US"/>
              </w:rPr>
              <w:t>33814,6</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lang w:val="en-US"/>
              </w:rPr>
              <w:t>37661,3</w:t>
            </w:r>
          </w:p>
        </w:tc>
        <w:tc>
          <w:tcPr>
            <w:tcW w:w="81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41584,7</w:t>
            </w:r>
          </w:p>
        </w:tc>
      </w:tr>
    </w:tbl>
    <w:p w:rsidR="008D5D14" w:rsidRDefault="008D5D14" w:rsidP="008D5D14">
      <w:pPr>
        <w:jc w:val="both"/>
        <w:rPr>
          <w:rFonts w:ascii="Times New Roman" w:hAnsi="Times New Roman" w:cs="Times New Roman"/>
          <w:sz w:val="24"/>
        </w:rPr>
      </w:pPr>
    </w:p>
    <w:p w:rsidR="008D5D14" w:rsidRPr="00C56334" w:rsidRDefault="008D5D14" w:rsidP="00FB661F">
      <w:pPr>
        <w:spacing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lastRenderedPageBreak/>
        <w:t>Предложение</w:t>
      </w:r>
      <w:r w:rsidRPr="00C56334">
        <w:rPr>
          <w:rFonts w:ascii="Times New Roman" w:hAnsi="Times New Roman" w:cs="Times New Roman"/>
          <w:sz w:val="28"/>
          <w:szCs w:val="28"/>
        </w:rPr>
        <w:t>:</w:t>
      </w:r>
    </w:p>
    <w:p w:rsidR="008D5D14" w:rsidRPr="00C56334" w:rsidRDefault="008D5D14" w:rsidP="00FB661F">
      <w:pPr>
        <w:pStyle w:val="aa"/>
        <w:numPr>
          <w:ilvl w:val="0"/>
          <w:numId w:val="20"/>
        </w:numPr>
        <w:spacing w:line="360" w:lineRule="auto"/>
        <w:jc w:val="both"/>
        <w:rPr>
          <w:rFonts w:ascii="Times New Roman" w:hAnsi="Times New Roman" w:cs="Times New Roman"/>
          <w:i/>
          <w:sz w:val="28"/>
          <w:szCs w:val="28"/>
        </w:rPr>
      </w:pPr>
      <w:r w:rsidRPr="00C56334">
        <w:rPr>
          <w:rFonts w:ascii="Times New Roman" w:hAnsi="Times New Roman" w:cs="Times New Roman"/>
          <w:i/>
          <w:sz w:val="28"/>
          <w:szCs w:val="28"/>
        </w:rPr>
        <w:t xml:space="preserve">составить дорожную карту формирования параметров налогооблагаемой базы Чеченской республики на среднесрочный период; </w:t>
      </w:r>
    </w:p>
    <w:p w:rsidR="008D5D14" w:rsidRPr="00C56334" w:rsidRDefault="008D5D14" w:rsidP="00FB661F">
      <w:pPr>
        <w:pStyle w:val="aa"/>
        <w:numPr>
          <w:ilvl w:val="0"/>
          <w:numId w:val="20"/>
        </w:numPr>
        <w:spacing w:line="360" w:lineRule="auto"/>
        <w:jc w:val="both"/>
        <w:rPr>
          <w:rFonts w:ascii="Times New Roman" w:hAnsi="Times New Roman" w:cs="Times New Roman"/>
          <w:i/>
          <w:sz w:val="28"/>
          <w:szCs w:val="28"/>
        </w:rPr>
      </w:pPr>
      <w:r w:rsidRPr="00C56334">
        <w:rPr>
          <w:rFonts w:ascii="Times New Roman" w:hAnsi="Times New Roman" w:cs="Times New Roman"/>
          <w:i/>
          <w:sz w:val="28"/>
          <w:szCs w:val="28"/>
        </w:rPr>
        <w:t>дорожную карту следует выстраивать в режиме реализации возможностей каждого из трех рассмотренных сценариев развития регионального налогового потенциала.</w:t>
      </w:r>
    </w:p>
    <w:p w:rsidR="00C56334" w:rsidRPr="00C56334" w:rsidRDefault="00C56334" w:rsidP="00C56334">
      <w:pPr>
        <w:pStyle w:val="aa"/>
        <w:spacing w:line="360" w:lineRule="auto"/>
        <w:jc w:val="both"/>
        <w:rPr>
          <w:rFonts w:ascii="Times New Roman" w:hAnsi="Times New Roman" w:cs="Times New Roman"/>
          <w:i/>
          <w:sz w:val="28"/>
          <w:szCs w:val="28"/>
        </w:rPr>
      </w:pPr>
    </w:p>
    <w:p w:rsidR="008D5D14" w:rsidRPr="00C56334" w:rsidRDefault="008D5D14" w:rsidP="00FB661F">
      <w:pPr>
        <w:spacing w:line="360" w:lineRule="auto"/>
        <w:jc w:val="center"/>
        <w:rPr>
          <w:rFonts w:ascii="Times New Roman" w:hAnsi="Times New Roman" w:cs="Times New Roman"/>
          <w:b/>
          <w:sz w:val="28"/>
          <w:szCs w:val="28"/>
        </w:rPr>
      </w:pPr>
      <w:r w:rsidRPr="00C56334">
        <w:rPr>
          <w:rFonts w:ascii="Times New Roman" w:hAnsi="Times New Roman" w:cs="Times New Roman"/>
          <w:b/>
          <w:sz w:val="28"/>
          <w:szCs w:val="28"/>
          <w:lang w:val="en-US"/>
        </w:rPr>
        <w:t>III</w:t>
      </w:r>
      <w:r w:rsidRPr="00C56334">
        <w:rPr>
          <w:rFonts w:ascii="Times New Roman" w:hAnsi="Times New Roman" w:cs="Times New Roman"/>
          <w:b/>
          <w:sz w:val="28"/>
          <w:szCs w:val="28"/>
        </w:rPr>
        <w:t>. Дорожная карта формирования параметров налогооблагаемой базы Чеченской республики на среднесрочный период</w:t>
      </w:r>
    </w:p>
    <w:p w:rsidR="008D5D14" w:rsidRPr="00C56334" w:rsidRDefault="008D5D14" w:rsidP="00FB661F">
      <w:p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ab/>
      </w:r>
      <w:proofErr w:type="gramStart"/>
      <w:r w:rsidRPr="00C56334">
        <w:rPr>
          <w:rFonts w:ascii="Times New Roman" w:hAnsi="Times New Roman" w:cs="Times New Roman"/>
          <w:sz w:val="28"/>
          <w:szCs w:val="28"/>
        </w:rPr>
        <w:t>В структуре налоговых доходов консолидированного бюджета Чеченской Республики за 2012 год (см. табл.9), доходы по налогу на прибыль организаций составили 5,9 %, по налогам на доходы физических лиц - 63,3%, по налогам на товары (работы, услуги), реализуемые на территории РФ - 23,4% и по налогам на имущество - 6,0%. В структуре налоговых доходов консолидированного бюджета регионов Северо-Кавказского федерального округа за 2012 год  доли</w:t>
      </w:r>
      <w:proofErr w:type="gramEnd"/>
      <w:r w:rsidRPr="00C56334">
        <w:rPr>
          <w:rFonts w:ascii="Times New Roman" w:hAnsi="Times New Roman" w:cs="Times New Roman"/>
          <w:sz w:val="28"/>
          <w:szCs w:val="28"/>
        </w:rPr>
        <w:t xml:space="preserve"> доходов по этим налогам составили соответственно 22,3 %:50,5%:5,0%:14,9%. В структуре налоговых </w:t>
      </w:r>
      <w:proofErr w:type="gramStart"/>
      <w:r w:rsidRPr="00C56334">
        <w:rPr>
          <w:rFonts w:ascii="Times New Roman" w:hAnsi="Times New Roman" w:cs="Times New Roman"/>
          <w:sz w:val="28"/>
          <w:szCs w:val="28"/>
        </w:rPr>
        <w:t>доходов консолидированного бюджета всех субъектов Российской Федерации доли доходов</w:t>
      </w:r>
      <w:proofErr w:type="gramEnd"/>
      <w:r w:rsidRPr="00C56334">
        <w:rPr>
          <w:rFonts w:ascii="Times New Roman" w:hAnsi="Times New Roman" w:cs="Times New Roman"/>
          <w:sz w:val="28"/>
          <w:szCs w:val="28"/>
        </w:rPr>
        <w:t xml:space="preserve"> по рассматриваемым налогам составили соответственно  34,1%:39,0%:7,6%:13,4%.</w:t>
      </w:r>
    </w:p>
    <w:p w:rsidR="008D5D14" w:rsidRPr="00C56334" w:rsidRDefault="008D5D14" w:rsidP="008D5D14">
      <w:pPr>
        <w:tabs>
          <w:tab w:val="left" w:pos="3067"/>
          <w:tab w:val="right" w:pos="9355"/>
        </w:tabs>
        <w:rPr>
          <w:rFonts w:ascii="Times New Roman" w:hAnsi="Times New Roman" w:cs="Times New Roman"/>
          <w:sz w:val="28"/>
          <w:szCs w:val="28"/>
        </w:rPr>
      </w:pPr>
      <w:r w:rsidRPr="00C56334">
        <w:rPr>
          <w:rFonts w:ascii="Times New Roman" w:hAnsi="Times New Roman" w:cs="Times New Roman"/>
          <w:sz w:val="28"/>
          <w:szCs w:val="28"/>
        </w:rPr>
        <w:tab/>
      </w:r>
      <w:r w:rsidRPr="00C56334">
        <w:rPr>
          <w:rFonts w:ascii="Times New Roman" w:hAnsi="Times New Roman" w:cs="Times New Roman"/>
          <w:sz w:val="28"/>
          <w:szCs w:val="28"/>
        </w:rPr>
        <w:tab/>
        <w:t>Таблица № 9</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Структура налоговых доходов консолидированного бюджета Чеченской республики, субъектов Российской Федерации по СКФО и субъектов РФ в целом на 01.01. 2013 год</w:t>
      </w:r>
    </w:p>
    <w:tbl>
      <w:tblPr>
        <w:tblStyle w:val="a9"/>
        <w:tblW w:w="0" w:type="auto"/>
        <w:tblInd w:w="250" w:type="dxa"/>
        <w:tblLook w:val="04A0" w:firstRow="1" w:lastRow="0" w:firstColumn="1" w:lastColumn="0" w:noHBand="0" w:noVBand="1"/>
      </w:tblPr>
      <w:tblGrid>
        <w:gridCol w:w="2736"/>
        <w:gridCol w:w="1348"/>
        <w:gridCol w:w="847"/>
        <w:gridCol w:w="1328"/>
        <w:gridCol w:w="867"/>
        <w:gridCol w:w="1469"/>
        <w:gridCol w:w="726"/>
      </w:tblGrid>
      <w:tr w:rsidR="008D5D14" w:rsidRPr="00E01741" w:rsidTr="008D5D14">
        <w:trPr>
          <w:trHeight w:val="645"/>
        </w:trPr>
        <w:tc>
          <w:tcPr>
            <w:tcW w:w="2736" w:type="dxa"/>
            <w:vMerge w:val="restart"/>
          </w:tcPr>
          <w:p w:rsidR="008D5D14" w:rsidRPr="00E01741" w:rsidRDefault="008D5D14" w:rsidP="008D5D14">
            <w:pPr>
              <w:jc w:val="center"/>
              <w:rPr>
                <w:rFonts w:ascii="Times New Roman" w:hAnsi="Times New Roman" w:cs="Times New Roman"/>
                <w:sz w:val="20"/>
              </w:rPr>
            </w:pPr>
          </w:p>
          <w:p w:rsidR="008D5D14" w:rsidRPr="00E01741" w:rsidRDefault="008D5D14" w:rsidP="008D5D14">
            <w:pPr>
              <w:jc w:val="center"/>
              <w:rPr>
                <w:rFonts w:ascii="Times New Roman" w:hAnsi="Times New Roman" w:cs="Times New Roman"/>
                <w:sz w:val="20"/>
              </w:rPr>
            </w:pPr>
            <w:r w:rsidRPr="00E01741">
              <w:rPr>
                <w:rFonts w:ascii="Times New Roman" w:hAnsi="Times New Roman" w:cs="Times New Roman"/>
                <w:b/>
                <w:sz w:val="20"/>
              </w:rPr>
              <w:t>Наименование</w:t>
            </w:r>
          </w:p>
        </w:tc>
        <w:tc>
          <w:tcPr>
            <w:tcW w:w="2195" w:type="dxa"/>
            <w:gridSpan w:val="2"/>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Консолидированный бюджет Чеченской Республики</w:t>
            </w:r>
          </w:p>
        </w:tc>
        <w:tc>
          <w:tcPr>
            <w:tcW w:w="2195" w:type="dxa"/>
            <w:gridSpan w:val="2"/>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Консолидированный бюджет субъектов РФ по СКФО</w:t>
            </w:r>
          </w:p>
        </w:tc>
        <w:tc>
          <w:tcPr>
            <w:tcW w:w="2195" w:type="dxa"/>
            <w:gridSpan w:val="2"/>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Консолидированный бюджет по всем субъектам РФ</w:t>
            </w:r>
          </w:p>
        </w:tc>
      </w:tr>
      <w:tr w:rsidR="008D5D14" w:rsidRPr="00E01741" w:rsidTr="007F4AB9">
        <w:trPr>
          <w:trHeight w:val="181"/>
        </w:trPr>
        <w:tc>
          <w:tcPr>
            <w:tcW w:w="2736" w:type="dxa"/>
            <w:vMerge/>
          </w:tcPr>
          <w:p w:rsidR="008D5D14" w:rsidRPr="00E01741" w:rsidRDefault="008D5D14" w:rsidP="008D5D14">
            <w:pPr>
              <w:jc w:val="both"/>
              <w:rPr>
                <w:rFonts w:ascii="Times New Roman" w:hAnsi="Times New Roman" w:cs="Times New Roman"/>
                <w:sz w:val="20"/>
              </w:rPr>
            </w:pPr>
          </w:p>
        </w:tc>
        <w:tc>
          <w:tcPr>
            <w:tcW w:w="1348"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млн. руб.</w:t>
            </w:r>
          </w:p>
        </w:tc>
        <w:tc>
          <w:tcPr>
            <w:tcW w:w="847"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в %</w:t>
            </w:r>
          </w:p>
        </w:tc>
        <w:tc>
          <w:tcPr>
            <w:tcW w:w="1328"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млн. руб.</w:t>
            </w:r>
          </w:p>
        </w:tc>
        <w:tc>
          <w:tcPr>
            <w:tcW w:w="867"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в %</w:t>
            </w:r>
          </w:p>
        </w:tc>
        <w:tc>
          <w:tcPr>
            <w:tcW w:w="1469"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млн. руб.</w:t>
            </w:r>
          </w:p>
        </w:tc>
        <w:tc>
          <w:tcPr>
            <w:tcW w:w="726"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в %</w:t>
            </w:r>
          </w:p>
        </w:tc>
      </w:tr>
      <w:tr w:rsidR="008D5D14" w:rsidRPr="00E01741" w:rsidTr="008D5D14">
        <w:tc>
          <w:tcPr>
            <w:tcW w:w="2736"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Налоговые доходы, всего</w:t>
            </w:r>
          </w:p>
        </w:tc>
        <w:tc>
          <w:tcPr>
            <w:tcW w:w="1348"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11260,2</w:t>
            </w:r>
          </w:p>
        </w:tc>
        <w:tc>
          <w:tcPr>
            <w:tcW w:w="847"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100</w:t>
            </w:r>
          </w:p>
        </w:tc>
        <w:tc>
          <w:tcPr>
            <w:tcW w:w="1328"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96029,2</w:t>
            </w:r>
          </w:p>
        </w:tc>
        <w:tc>
          <w:tcPr>
            <w:tcW w:w="867"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100</w:t>
            </w:r>
          </w:p>
        </w:tc>
        <w:tc>
          <w:tcPr>
            <w:tcW w:w="1469"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5793056,9</w:t>
            </w:r>
          </w:p>
        </w:tc>
        <w:tc>
          <w:tcPr>
            <w:tcW w:w="726" w:type="dxa"/>
          </w:tcPr>
          <w:p w:rsidR="008D5D14" w:rsidRPr="00E01741" w:rsidRDefault="008D5D14" w:rsidP="008D5D14">
            <w:pPr>
              <w:jc w:val="center"/>
              <w:rPr>
                <w:rFonts w:ascii="Times New Roman" w:hAnsi="Times New Roman" w:cs="Times New Roman"/>
                <w:b/>
                <w:sz w:val="20"/>
              </w:rPr>
            </w:pPr>
            <w:r w:rsidRPr="00E01741">
              <w:rPr>
                <w:rFonts w:ascii="Times New Roman" w:hAnsi="Times New Roman" w:cs="Times New Roman"/>
                <w:b/>
                <w:sz w:val="20"/>
              </w:rPr>
              <w:t>100</w:t>
            </w:r>
          </w:p>
        </w:tc>
      </w:tr>
      <w:tr w:rsidR="008D5D14" w:rsidRPr="00E01741" w:rsidTr="008D5D14">
        <w:tc>
          <w:tcPr>
            <w:tcW w:w="2736" w:type="dxa"/>
          </w:tcPr>
          <w:p w:rsidR="008D5D14" w:rsidRPr="00E01741" w:rsidRDefault="008D5D14" w:rsidP="008D5D14">
            <w:pPr>
              <w:jc w:val="both"/>
              <w:rPr>
                <w:rFonts w:ascii="Times New Roman" w:hAnsi="Times New Roman" w:cs="Times New Roman"/>
                <w:sz w:val="20"/>
              </w:rPr>
            </w:pPr>
            <w:r w:rsidRPr="00E01741">
              <w:rPr>
                <w:rFonts w:ascii="Times New Roman" w:hAnsi="Times New Roman" w:cs="Times New Roman"/>
                <w:sz w:val="20"/>
              </w:rPr>
              <w:t>Налог на прибыль организаций</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665,6</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5,9</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21327,7</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22,3</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1976680,6</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34,1</w:t>
            </w:r>
          </w:p>
        </w:tc>
      </w:tr>
      <w:tr w:rsidR="008D5D14" w:rsidRPr="00E01741" w:rsidTr="008D5D14">
        <w:tc>
          <w:tcPr>
            <w:tcW w:w="2736" w:type="dxa"/>
          </w:tcPr>
          <w:p w:rsidR="008D5D14" w:rsidRPr="00E01741" w:rsidRDefault="008D5D14" w:rsidP="008D5D14">
            <w:pPr>
              <w:jc w:val="both"/>
              <w:rPr>
                <w:rFonts w:ascii="Times New Roman" w:hAnsi="Times New Roman" w:cs="Times New Roman"/>
                <w:sz w:val="20"/>
              </w:rPr>
            </w:pPr>
            <w:r w:rsidRPr="00E01741">
              <w:rPr>
                <w:rFonts w:ascii="Times New Roman" w:hAnsi="Times New Roman" w:cs="Times New Roman"/>
                <w:sz w:val="20"/>
              </w:rPr>
              <w:lastRenderedPageBreak/>
              <w:t>Налоги на доходы физических лиц</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7128,1</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63,3</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48494,4</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50,5</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2260335,6</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39,0</w:t>
            </w:r>
          </w:p>
        </w:tc>
      </w:tr>
      <w:tr w:rsidR="008D5D14" w:rsidRPr="00E01741" w:rsidTr="008D5D14">
        <w:tc>
          <w:tcPr>
            <w:tcW w:w="2736" w:type="dxa"/>
          </w:tcPr>
          <w:p w:rsidR="008D5D14" w:rsidRPr="00E01741" w:rsidRDefault="008D5D14" w:rsidP="008D5D14">
            <w:pPr>
              <w:jc w:val="both"/>
              <w:rPr>
                <w:rFonts w:ascii="Times New Roman" w:hAnsi="Times New Roman" w:cs="Times New Roman"/>
                <w:sz w:val="20"/>
              </w:rPr>
            </w:pPr>
            <w:r w:rsidRPr="00E01741">
              <w:rPr>
                <w:rFonts w:ascii="Times New Roman" w:hAnsi="Times New Roman" w:cs="Times New Roman"/>
                <w:sz w:val="20"/>
              </w:rPr>
              <w:t>Налоги на товары (работы, услуги), реализуемые на территории РФ</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2639,1</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23,4</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4829,2</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5,0</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441776,4</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7,6</w:t>
            </w:r>
          </w:p>
        </w:tc>
      </w:tr>
      <w:tr w:rsidR="008D5D14" w:rsidRPr="00E01741" w:rsidTr="008D5D14">
        <w:tc>
          <w:tcPr>
            <w:tcW w:w="2736" w:type="dxa"/>
          </w:tcPr>
          <w:p w:rsidR="008D5D14" w:rsidRPr="00E01741" w:rsidRDefault="008D5D14" w:rsidP="008D5D14">
            <w:pPr>
              <w:jc w:val="both"/>
              <w:rPr>
                <w:rFonts w:ascii="Times New Roman" w:hAnsi="Times New Roman" w:cs="Times New Roman"/>
                <w:sz w:val="20"/>
              </w:rPr>
            </w:pPr>
            <w:r w:rsidRPr="00E01741">
              <w:rPr>
                <w:rFonts w:ascii="Times New Roman" w:hAnsi="Times New Roman" w:cs="Times New Roman"/>
                <w:sz w:val="20"/>
              </w:rPr>
              <w:t>Налоги на совокупный доход</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129,1</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1,2</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6662,9</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6,9</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277068,6</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4,8</w:t>
            </w:r>
          </w:p>
        </w:tc>
      </w:tr>
      <w:tr w:rsidR="008D5D14" w:rsidRPr="00E01741" w:rsidTr="008D5D14">
        <w:tc>
          <w:tcPr>
            <w:tcW w:w="2736" w:type="dxa"/>
          </w:tcPr>
          <w:p w:rsidR="008D5D14" w:rsidRPr="00E01741" w:rsidRDefault="008D5D14" w:rsidP="007F4AB9">
            <w:pPr>
              <w:jc w:val="both"/>
              <w:rPr>
                <w:rFonts w:ascii="Times New Roman" w:hAnsi="Times New Roman" w:cs="Times New Roman"/>
                <w:sz w:val="20"/>
              </w:rPr>
            </w:pPr>
            <w:r w:rsidRPr="00E01741">
              <w:rPr>
                <w:rFonts w:ascii="Times New Roman" w:hAnsi="Times New Roman" w:cs="Times New Roman"/>
                <w:sz w:val="20"/>
              </w:rPr>
              <w:t xml:space="preserve">Налоги на имущество организаций и физических лиц </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677,0</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6,0</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14323,2</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14,9</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785339,2</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13,6</w:t>
            </w:r>
          </w:p>
        </w:tc>
      </w:tr>
      <w:tr w:rsidR="008D5D14" w:rsidRPr="00E01741" w:rsidTr="008D5D14">
        <w:tc>
          <w:tcPr>
            <w:tcW w:w="2736" w:type="dxa"/>
          </w:tcPr>
          <w:p w:rsidR="008D5D14" w:rsidRPr="00E01741" w:rsidRDefault="008D5D14" w:rsidP="008D5D14">
            <w:pPr>
              <w:jc w:val="both"/>
              <w:rPr>
                <w:rFonts w:ascii="Times New Roman" w:hAnsi="Times New Roman" w:cs="Times New Roman"/>
                <w:sz w:val="20"/>
              </w:rPr>
            </w:pPr>
            <w:r w:rsidRPr="00E01741">
              <w:rPr>
                <w:rFonts w:ascii="Times New Roman" w:hAnsi="Times New Roman" w:cs="Times New Roman"/>
                <w:sz w:val="20"/>
              </w:rPr>
              <w:t>Налоги, сборы и регулярные платежи за пользование природными ресурсами</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0,5</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118,6</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0,1</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41701,8</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0,7</w:t>
            </w:r>
          </w:p>
        </w:tc>
      </w:tr>
      <w:tr w:rsidR="008D5D14" w:rsidRPr="00E01741" w:rsidTr="00E0041C">
        <w:trPr>
          <w:trHeight w:val="517"/>
        </w:trPr>
        <w:tc>
          <w:tcPr>
            <w:tcW w:w="2736" w:type="dxa"/>
          </w:tcPr>
          <w:p w:rsidR="008D5D14" w:rsidRPr="00E01741" w:rsidRDefault="008D5D14" w:rsidP="008D5D14">
            <w:pPr>
              <w:jc w:val="both"/>
              <w:rPr>
                <w:rFonts w:ascii="Times New Roman" w:hAnsi="Times New Roman" w:cs="Times New Roman"/>
                <w:sz w:val="20"/>
              </w:rPr>
            </w:pPr>
            <w:r w:rsidRPr="00E01741">
              <w:rPr>
                <w:rFonts w:ascii="Times New Roman" w:hAnsi="Times New Roman" w:cs="Times New Roman"/>
                <w:sz w:val="20"/>
              </w:rPr>
              <w:t>Государственная пошлина,</w:t>
            </w:r>
          </w:p>
        </w:tc>
        <w:tc>
          <w:tcPr>
            <w:tcW w:w="134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20,8</w:t>
            </w:r>
          </w:p>
        </w:tc>
        <w:tc>
          <w:tcPr>
            <w:tcW w:w="84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0,2</w:t>
            </w:r>
          </w:p>
        </w:tc>
        <w:tc>
          <w:tcPr>
            <w:tcW w:w="1328"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273,2</w:t>
            </w:r>
          </w:p>
        </w:tc>
        <w:tc>
          <w:tcPr>
            <w:tcW w:w="867"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0,3</w:t>
            </w:r>
          </w:p>
        </w:tc>
        <w:tc>
          <w:tcPr>
            <w:tcW w:w="1469"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10154,7</w:t>
            </w:r>
          </w:p>
        </w:tc>
        <w:tc>
          <w:tcPr>
            <w:tcW w:w="726" w:type="dxa"/>
          </w:tcPr>
          <w:p w:rsidR="008D5D14" w:rsidRPr="00E01741" w:rsidRDefault="008D5D14" w:rsidP="00E0041C">
            <w:pPr>
              <w:jc w:val="center"/>
              <w:rPr>
                <w:rFonts w:ascii="Times New Roman" w:hAnsi="Times New Roman" w:cs="Times New Roman"/>
                <w:sz w:val="20"/>
              </w:rPr>
            </w:pPr>
            <w:r w:rsidRPr="00E01741">
              <w:rPr>
                <w:rFonts w:ascii="Times New Roman" w:hAnsi="Times New Roman" w:cs="Times New Roman"/>
                <w:sz w:val="20"/>
              </w:rPr>
              <w:t>0,2</w:t>
            </w:r>
          </w:p>
        </w:tc>
      </w:tr>
    </w:tbl>
    <w:p w:rsidR="008D5D14" w:rsidRDefault="008D5D14" w:rsidP="008D5D14">
      <w:pPr>
        <w:jc w:val="both"/>
        <w:rPr>
          <w:rFonts w:ascii="Times New Roman" w:hAnsi="Times New Roman" w:cs="Times New Roman"/>
          <w:sz w:val="24"/>
        </w:rPr>
      </w:pP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Как видно из данных представленных в таблице 9 в структуре налоговых доходов консолидированных бюджетов субъектов Российской Федераций, в том числе и Чеченской республики, доминируют следующие налоги:</w:t>
      </w:r>
    </w:p>
    <w:p w:rsidR="008D5D14" w:rsidRPr="00C56334" w:rsidRDefault="008D5D14" w:rsidP="00C56334">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 на прибыль организаций;</w:t>
      </w:r>
    </w:p>
    <w:p w:rsidR="008D5D14" w:rsidRPr="00C56334" w:rsidRDefault="008D5D14" w:rsidP="00C56334">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налоги на доходы физических лиц;</w:t>
      </w:r>
    </w:p>
    <w:p w:rsidR="008D5D14" w:rsidRPr="00C56334" w:rsidRDefault="008D5D14" w:rsidP="00C56334">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налоги на товары (работы, услуги), реализуемые на территории РФ;</w:t>
      </w:r>
    </w:p>
    <w:p w:rsidR="008D5D14" w:rsidRPr="00C56334" w:rsidRDefault="008D5D14" w:rsidP="00C56334">
      <w:pPr>
        <w:pStyle w:val="aa"/>
        <w:numPr>
          <w:ilvl w:val="0"/>
          <w:numId w:val="21"/>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налоги на имущество.</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Вероятно, что такая ситуация сохранится в Российской Федерации и в обозримом будущем. Поэтому, параметры  налогового потенциала Чеченской республики на период 2013-2025 гг. должны разрабатываться преимущественно в направлении обеспечения роста налоговых баз по этим видам налогов.</w:t>
      </w:r>
    </w:p>
    <w:p w:rsidR="008D5D14" w:rsidRPr="00C56334" w:rsidRDefault="00E0041C"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r>
      <w:r w:rsidR="008D5D14" w:rsidRPr="00C56334">
        <w:rPr>
          <w:rFonts w:ascii="Times New Roman" w:hAnsi="Times New Roman" w:cs="Times New Roman"/>
          <w:b/>
          <w:sz w:val="28"/>
          <w:szCs w:val="28"/>
        </w:rPr>
        <w:t xml:space="preserve">1. Налог на прибыль организаций. </w:t>
      </w:r>
      <w:r w:rsidR="008D5D14" w:rsidRPr="00C56334">
        <w:rPr>
          <w:rFonts w:ascii="Times New Roman" w:hAnsi="Times New Roman" w:cs="Times New Roman"/>
          <w:sz w:val="28"/>
          <w:szCs w:val="28"/>
        </w:rPr>
        <w:t xml:space="preserve">Прибыль организаций, как показатель налогооблагаемой базы субъекта РФ, зависит от многих факторов, но прежде всего </w:t>
      </w:r>
      <w:proofErr w:type="gramStart"/>
      <w:r w:rsidR="008D5D14" w:rsidRPr="00C56334">
        <w:rPr>
          <w:rFonts w:ascii="Times New Roman" w:hAnsi="Times New Roman" w:cs="Times New Roman"/>
          <w:sz w:val="28"/>
          <w:szCs w:val="28"/>
        </w:rPr>
        <w:t>от</w:t>
      </w:r>
      <w:proofErr w:type="gramEnd"/>
      <w:r w:rsidR="008D5D14" w:rsidRPr="00C56334">
        <w:rPr>
          <w:rFonts w:ascii="Times New Roman" w:hAnsi="Times New Roman" w:cs="Times New Roman"/>
          <w:sz w:val="28"/>
          <w:szCs w:val="28"/>
        </w:rPr>
        <w:t>:</w:t>
      </w:r>
    </w:p>
    <w:p w:rsidR="008D5D14" w:rsidRPr="00C56334" w:rsidRDefault="008D5D14" w:rsidP="00C56334">
      <w:pPr>
        <w:pStyle w:val="aa"/>
        <w:numPr>
          <w:ilvl w:val="0"/>
          <w:numId w:val="10"/>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структуры прибыльных и убыточных организаций;</w:t>
      </w:r>
    </w:p>
    <w:p w:rsidR="008D5D14" w:rsidRPr="00C56334" w:rsidRDefault="008D5D14" w:rsidP="00C56334">
      <w:pPr>
        <w:pStyle w:val="aa"/>
        <w:numPr>
          <w:ilvl w:val="0"/>
          <w:numId w:val="10"/>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уровня доходности прибыльных организаций по основным направлениям экономической деятельности.</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Усилия по увеличению прибыли организаций Чеченской республики должны быть в двух направлениях: </w:t>
      </w:r>
    </w:p>
    <w:p w:rsidR="008D5D14" w:rsidRPr="00C56334" w:rsidRDefault="008D5D14" w:rsidP="00C56334">
      <w:pPr>
        <w:pStyle w:val="aa"/>
        <w:numPr>
          <w:ilvl w:val="0"/>
          <w:numId w:val="19"/>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lastRenderedPageBreak/>
        <w:t>роста доли прибыльных организаций.</w:t>
      </w:r>
      <w:r w:rsidRPr="00C56334">
        <w:rPr>
          <w:rFonts w:ascii="Times New Roman" w:hAnsi="Times New Roman" w:cs="Times New Roman"/>
          <w:sz w:val="28"/>
          <w:szCs w:val="28"/>
        </w:rPr>
        <w:t xml:space="preserve"> </w:t>
      </w:r>
      <w:proofErr w:type="gramStart"/>
      <w:r w:rsidRPr="00C56334">
        <w:rPr>
          <w:rFonts w:ascii="Times New Roman" w:hAnsi="Times New Roman" w:cs="Times New Roman"/>
          <w:sz w:val="28"/>
          <w:szCs w:val="28"/>
        </w:rPr>
        <w:t>Так, по состоянию на 01.10.2012 доля убыточных организаций по Чеченской республики составила свыше 14,5 процентов, соответственно прибыльных не более 85,5 процентов.</w:t>
      </w:r>
      <w:proofErr w:type="gramEnd"/>
      <w:r w:rsidRPr="00C56334">
        <w:rPr>
          <w:rFonts w:ascii="Times New Roman" w:hAnsi="Times New Roman" w:cs="Times New Roman"/>
          <w:sz w:val="28"/>
          <w:szCs w:val="28"/>
        </w:rPr>
        <w:t xml:space="preserve"> </w:t>
      </w:r>
      <w:proofErr w:type="gramStart"/>
      <w:r w:rsidRPr="00C56334">
        <w:rPr>
          <w:rFonts w:ascii="Times New Roman" w:hAnsi="Times New Roman" w:cs="Times New Roman"/>
          <w:sz w:val="28"/>
          <w:szCs w:val="28"/>
        </w:rPr>
        <w:t>При этом 507 прибыльных организаций республики обеспечили прибыль до налогообложения в размере 1</w:t>
      </w:r>
      <w:r w:rsidR="007F4AB9">
        <w:rPr>
          <w:rFonts w:ascii="Times New Roman" w:hAnsi="Times New Roman" w:cs="Times New Roman"/>
          <w:sz w:val="28"/>
          <w:szCs w:val="28"/>
        </w:rPr>
        <w:t xml:space="preserve"> </w:t>
      </w:r>
      <w:r w:rsidRPr="00C56334">
        <w:rPr>
          <w:rFonts w:ascii="Times New Roman" w:hAnsi="Times New Roman" w:cs="Times New Roman"/>
          <w:sz w:val="28"/>
          <w:szCs w:val="28"/>
        </w:rPr>
        <w:t>928,7 млн. руб., а 86 убыточных организаций республики понесли убытки в размере 4</w:t>
      </w:r>
      <w:r w:rsidR="007F4AB9">
        <w:rPr>
          <w:rFonts w:ascii="Times New Roman" w:hAnsi="Times New Roman" w:cs="Times New Roman"/>
          <w:sz w:val="28"/>
          <w:szCs w:val="28"/>
        </w:rPr>
        <w:t> </w:t>
      </w:r>
      <w:r w:rsidRPr="00C56334">
        <w:rPr>
          <w:rFonts w:ascii="Times New Roman" w:hAnsi="Times New Roman" w:cs="Times New Roman"/>
          <w:sz w:val="28"/>
          <w:szCs w:val="28"/>
        </w:rPr>
        <w:t>892,5 млн. руб. Снижение уровня убыточных или рост прибыльных организаций республики на эти 14,5 процентов позволит, при сохранении сложившейся доходности по видам экономической деятельности, увеличить налогооблагаемую базу по прибыли более чем в 2,5 раза</w:t>
      </w:r>
      <w:proofErr w:type="gramEnd"/>
      <w:r w:rsidRPr="00C56334">
        <w:rPr>
          <w:rFonts w:ascii="Times New Roman" w:hAnsi="Times New Roman" w:cs="Times New Roman"/>
          <w:sz w:val="28"/>
          <w:szCs w:val="28"/>
        </w:rPr>
        <w:t xml:space="preserve">, </w:t>
      </w:r>
      <w:proofErr w:type="gramStart"/>
      <w:r w:rsidRPr="00C56334">
        <w:rPr>
          <w:rFonts w:ascii="Times New Roman" w:hAnsi="Times New Roman" w:cs="Times New Roman"/>
          <w:sz w:val="28"/>
          <w:szCs w:val="28"/>
        </w:rPr>
        <w:t>а</w:t>
      </w:r>
      <w:proofErr w:type="gramEnd"/>
      <w:r w:rsidRPr="00C56334">
        <w:rPr>
          <w:rFonts w:ascii="Times New Roman" w:hAnsi="Times New Roman" w:cs="Times New Roman"/>
          <w:sz w:val="28"/>
          <w:szCs w:val="28"/>
        </w:rPr>
        <w:t xml:space="preserve"> следовательно и соответствующие налоговые поступления в консолидированный бюджет Чеченской республики. </w:t>
      </w:r>
    </w:p>
    <w:p w:rsidR="008D5D14" w:rsidRPr="00C56334" w:rsidRDefault="008D5D14" w:rsidP="00C56334">
      <w:pPr>
        <w:pStyle w:val="aa"/>
        <w:numPr>
          <w:ilvl w:val="0"/>
          <w:numId w:val="19"/>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роста капитальных вложений в производственные объекты, дающие больший синергетический экономический эффект</w:t>
      </w:r>
      <w:r w:rsidRPr="00C56334">
        <w:rPr>
          <w:rFonts w:ascii="Times New Roman" w:hAnsi="Times New Roman" w:cs="Times New Roman"/>
          <w:sz w:val="28"/>
          <w:szCs w:val="28"/>
        </w:rPr>
        <w:t xml:space="preserve">. В качестве таких (реперных) точек роста экономики Чеченской республики, ранжированные по приоритетности, являются следующие экономические кластеры: </w:t>
      </w:r>
    </w:p>
    <w:p w:rsidR="008D5D14" w:rsidRPr="00C56334" w:rsidRDefault="008D5D14" w:rsidP="00C56334">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нефтехимический комплекс</w:t>
      </w:r>
      <w:r w:rsidRPr="00C56334">
        <w:rPr>
          <w:rFonts w:ascii="Times New Roman" w:hAnsi="Times New Roman" w:cs="Times New Roman"/>
          <w:sz w:val="28"/>
          <w:szCs w:val="28"/>
        </w:rPr>
        <w:t>, включая: добыча нефти и газа; нефт</w:t>
      </w:r>
      <w:proofErr w:type="gramStart"/>
      <w:r w:rsidRPr="00C56334">
        <w:rPr>
          <w:rFonts w:ascii="Times New Roman" w:hAnsi="Times New Roman" w:cs="Times New Roman"/>
          <w:sz w:val="28"/>
          <w:szCs w:val="28"/>
        </w:rPr>
        <w:t>и-</w:t>
      </w:r>
      <w:proofErr w:type="gramEnd"/>
      <w:r w:rsidRPr="00C56334">
        <w:rPr>
          <w:rFonts w:ascii="Times New Roman" w:hAnsi="Times New Roman" w:cs="Times New Roman"/>
          <w:sz w:val="28"/>
          <w:szCs w:val="28"/>
        </w:rPr>
        <w:t xml:space="preserve"> и газо- переработку; химическое производство на углеводородном сырье; </w:t>
      </w:r>
    </w:p>
    <w:p w:rsidR="008D5D14" w:rsidRPr="00C56334" w:rsidRDefault="008D5D14" w:rsidP="00C56334">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агропромышленный комплекс,</w:t>
      </w:r>
      <w:r w:rsidRPr="00C56334">
        <w:rPr>
          <w:rFonts w:ascii="Times New Roman" w:hAnsi="Times New Roman" w:cs="Times New Roman"/>
          <w:sz w:val="28"/>
          <w:szCs w:val="28"/>
        </w:rPr>
        <w:t xml:space="preserve"> включая: семеноводство, зерновое хозяйство и виноградарство; животноводство и птицеводство; пищевая индустрия;</w:t>
      </w:r>
    </w:p>
    <w:p w:rsidR="008D5D14" w:rsidRPr="00C56334" w:rsidRDefault="008D5D14" w:rsidP="00C56334">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энергетический комплекс,</w:t>
      </w:r>
      <w:r w:rsidRPr="00C56334">
        <w:rPr>
          <w:rFonts w:ascii="Times New Roman" w:hAnsi="Times New Roman" w:cs="Times New Roman"/>
          <w:sz w:val="28"/>
          <w:szCs w:val="28"/>
        </w:rPr>
        <w:t xml:space="preserve"> включая: генерация электроэнергии; термальные и другие альтернативные источники энергий;</w:t>
      </w:r>
    </w:p>
    <w:p w:rsidR="008D5D14" w:rsidRPr="00C56334" w:rsidRDefault="008D5D14" w:rsidP="00C56334">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t>- строительный комплекс</w:t>
      </w:r>
      <w:r w:rsidRPr="00C56334">
        <w:rPr>
          <w:rFonts w:ascii="Times New Roman" w:hAnsi="Times New Roman" w:cs="Times New Roman"/>
          <w:sz w:val="28"/>
          <w:szCs w:val="28"/>
        </w:rPr>
        <w:t>, включая: производство строительных материалов (цемент, песок, кирпич, бетонные изделия и др.);</w:t>
      </w:r>
    </w:p>
    <w:p w:rsidR="008D5D14" w:rsidRPr="00C56334" w:rsidRDefault="008D5D14" w:rsidP="00C56334">
      <w:pPr>
        <w:pStyle w:val="aa"/>
        <w:spacing w:after="0" w:line="360" w:lineRule="auto"/>
        <w:ind w:left="709"/>
        <w:jc w:val="both"/>
        <w:rPr>
          <w:rFonts w:ascii="Times New Roman" w:hAnsi="Times New Roman" w:cs="Times New Roman"/>
          <w:sz w:val="28"/>
          <w:szCs w:val="28"/>
        </w:rPr>
      </w:pPr>
      <w:proofErr w:type="gramStart"/>
      <w:r w:rsidRPr="00C56334">
        <w:rPr>
          <w:rFonts w:ascii="Times New Roman" w:hAnsi="Times New Roman" w:cs="Times New Roman"/>
          <w:i/>
          <w:sz w:val="28"/>
          <w:szCs w:val="28"/>
        </w:rPr>
        <w:t>- машиностроительный комплекс</w:t>
      </w:r>
      <w:r w:rsidRPr="00C56334">
        <w:rPr>
          <w:rFonts w:ascii="Times New Roman" w:hAnsi="Times New Roman" w:cs="Times New Roman"/>
          <w:sz w:val="28"/>
          <w:szCs w:val="28"/>
        </w:rPr>
        <w:t>, включая: литейное производство; сборка автомобилей и другой техники; изготовление запасных частей (шин, зеркал, электрических проводов и т.д.) и агрегатов (моторов, силовых установок и т.д.);</w:t>
      </w:r>
      <w:proofErr w:type="gramEnd"/>
    </w:p>
    <w:p w:rsidR="008D5D14" w:rsidRPr="00C56334" w:rsidRDefault="008D5D14" w:rsidP="00C56334">
      <w:pPr>
        <w:pStyle w:val="aa"/>
        <w:spacing w:after="0" w:line="360" w:lineRule="auto"/>
        <w:ind w:left="709"/>
        <w:jc w:val="both"/>
        <w:rPr>
          <w:rFonts w:ascii="Times New Roman" w:hAnsi="Times New Roman" w:cs="Times New Roman"/>
          <w:sz w:val="28"/>
          <w:szCs w:val="28"/>
        </w:rPr>
      </w:pPr>
      <w:r w:rsidRPr="00C56334">
        <w:rPr>
          <w:rFonts w:ascii="Times New Roman" w:hAnsi="Times New Roman" w:cs="Times New Roman"/>
          <w:i/>
          <w:sz w:val="28"/>
          <w:szCs w:val="28"/>
        </w:rPr>
        <w:lastRenderedPageBreak/>
        <w:t>- гостиничный и оздоровительный комплекс</w:t>
      </w:r>
      <w:r w:rsidRPr="00C56334">
        <w:rPr>
          <w:rFonts w:ascii="Times New Roman" w:hAnsi="Times New Roman" w:cs="Times New Roman"/>
          <w:sz w:val="28"/>
          <w:szCs w:val="28"/>
        </w:rPr>
        <w:t>, включая: сеть гостиниц и ресторанов в крупных населенных пунктах и спортивно-оздоровительных центрах;</w:t>
      </w:r>
    </w:p>
    <w:p w:rsidR="008D5D14" w:rsidRPr="00C56334" w:rsidRDefault="008D5D14" w:rsidP="00C56334">
      <w:pPr>
        <w:pStyle w:val="aa"/>
        <w:spacing w:after="0" w:line="360" w:lineRule="auto"/>
        <w:ind w:left="709" w:firstLine="273"/>
        <w:jc w:val="both"/>
        <w:rPr>
          <w:rFonts w:ascii="Times New Roman" w:hAnsi="Times New Roman" w:cs="Times New Roman"/>
          <w:sz w:val="28"/>
          <w:szCs w:val="28"/>
        </w:rPr>
      </w:pPr>
      <w:r w:rsidRPr="00C56334">
        <w:rPr>
          <w:rFonts w:ascii="Times New Roman" w:hAnsi="Times New Roman" w:cs="Times New Roman"/>
          <w:i/>
          <w:sz w:val="28"/>
          <w:szCs w:val="28"/>
        </w:rPr>
        <w:t>- финансовый комплекс</w:t>
      </w:r>
      <w:r w:rsidRPr="00C56334">
        <w:rPr>
          <w:rFonts w:ascii="Times New Roman" w:hAnsi="Times New Roman" w:cs="Times New Roman"/>
          <w:sz w:val="28"/>
          <w:szCs w:val="28"/>
        </w:rPr>
        <w:t>, включая: банковский, страховой и биржевой сектора.</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Важным аспектом активации этих кластеров является не только и не столько улучшение инвестиционного климата в Чеченской республике и повышение инвестиционной привлекательности инвестиционных проектов для потенциальных инвесторов (отечественных и иностранных), а сколько обеспечение гарантированного выхода производителя на соответствующие сегменты российских и внешних рынков товаров, работ и услуг. Возрождение и дальнейшее развитие существующих и формирование новых направлений экономической деятельности на территории Чеченской республики должно обеспечиваться </w:t>
      </w:r>
      <w:r w:rsidRPr="00C56334">
        <w:rPr>
          <w:rFonts w:ascii="Times New Roman" w:hAnsi="Times New Roman" w:cs="Times New Roman"/>
          <w:i/>
          <w:sz w:val="28"/>
          <w:szCs w:val="28"/>
        </w:rPr>
        <w:t>в русле выстраивания государственно-частного партнерства с потенциальным инвестором, обладающим собственным рынком сбыта продукции, производство которого он заинтересован разместить на территории Чеченской республики.</w:t>
      </w:r>
      <w:r w:rsidRPr="00C56334">
        <w:rPr>
          <w:rFonts w:ascii="Times New Roman" w:hAnsi="Times New Roman" w:cs="Times New Roman"/>
          <w:sz w:val="28"/>
          <w:szCs w:val="28"/>
        </w:rPr>
        <w:t xml:space="preserve"> К примеру, размещение на площадях завода «</w:t>
      </w:r>
      <w:proofErr w:type="spellStart"/>
      <w:r w:rsidRPr="00C56334">
        <w:rPr>
          <w:rFonts w:ascii="Times New Roman" w:hAnsi="Times New Roman" w:cs="Times New Roman"/>
          <w:sz w:val="28"/>
          <w:szCs w:val="28"/>
        </w:rPr>
        <w:t>Пищемаш</w:t>
      </w:r>
      <w:proofErr w:type="spellEnd"/>
      <w:r w:rsidRPr="00C56334">
        <w:rPr>
          <w:rFonts w:ascii="Times New Roman" w:hAnsi="Times New Roman" w:cs="Times New Roman"/>
          <w:sz w:val="28"/>
          <w:szCs w:val="28"/>
        </w:rPr>
        <w:t xml:space="preserve">» (г. Аргун) не сборочного производства автомобилей марки «ЛАДА», а производства лобовых и других стекол для ОАО «АВТОВАЗ», в силу наличия на территории не только трудовых ресурсов, а и с сырья для производства стекла. В этом случае завод был бы постоянно загружен заказами от ОАО «АВТОВАЗ» и стабильно прибыльной организацией и был бы запушен стекольный завод.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Данный подход должен выдерживаться в отношении всех направлений деятельности, являющимися точками роста экономики Чеченской республики. Именно в этом и состоит инновационный подход к развитию региональной экономики в условиях крайне ограниченности региона собственными источниками финансирования капитальных вложений (инвестиций) и проблематичности вхождения регионального производителя </w:t>
      </w:r>
      <w:r w:rsidRPr="00C56334">
        <w:rPr>
          <w:rFonts w:ascii="Times New Roman" w:hAnsi="Times New Roman" w:cs="Times New Roman"/>
          <w:sz w:val="28"/>
          <w:szCs w:val="28"/>
        </w:rPr>
        <w:lastRenderedPageBreak/>
        <w:t xml:space="preserve">на тот или иной сегмент общероссийских и внешних (зарубежных) рынков товаров, работ и услуг. </w:t>
      </w:r>
    </w:p>
    <w:p w:rsidR="008D5D14" w:rsidRPr="00C56334" w:rsidRDefault="008D5D14" w:rsidP="008D5D14">
      <w:pPr>
        <w:jc w:val="right"/>
        <w:rPr>
          <w:rFonts w:ascii="Times New Roman" w:hAnsi="Times New Roman" w:cs="Times New Roman"/>
          <w:sz w:val="28"/>
          <w:szCs w:val="28"/>
        </w:rPr>
      </w:pPr>
      <w:r w:rsidRPr="00C56334">
        <w:rPr>
          <w:rFonts w:ascii="Times New Roman" w:hAnsi="Times New Roman" w:cs="Times New Roman"/>
          <w:sz w:val="28"/>
          <w:szCs w:val="28"/>
        </w:rPr>
        <w:t>Таблица № 10</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Обеспеченность регионов России банковскими услугами по состоянию                                        на 01.01.2012*</w:t>
      </w:r>
    </w:p>
    <w:tbl>
      <w:tblPr>
        <w:tblStyle w:val="a9"/>
        <w:tblW w:w="0" w:type="auto"/>
        <w:tblLook w:val="04A0" w:firstRow="1" w:lastRow="0" w:firstColumn="1" w:lastColumn="0" w:noHBand="0" w:noVBand="1"/>
      </w:tblPr>
      <w:tblGrid>
        <w:gridCol w:w="4219"/>
        <w:gridCol w:w="2552"/>
        <w:gridCol w:w="2800"/>
      </w:tblGrid>
      <w:tr w:rsidR="008D5D14" w:rsidTr="008D5D14">
        <w:tc>
          <w:tcPr>
            <w:tcW w:w="4219" w:type="dxa"/>
          </w:tcPr>
          <w:p w:rsidR="008D5D14" w:rsidRPr="00E01741" w:rsidRDefault="008D5D14" w:rsidP="008D5D14">
            <w:pPr>
              <w:jc w:val="center"/>
              <w:rPr>
                <w:rFonts w:ascii="Times New Roman" w:hAnsi="Times New Roman" w:cs="Times New Roman"/>
                <w:szCs w:val="24"/>
              </w:rPr>
            </w:pPr>
          </w:p>
        </w:tc>
        <w:tc>
          <w:tcPr>
            <w:tcW w:w="2552" w:type="dxa"/>
          </w:tcPr>
          <w:p w:rsidR="008D5D14" w:rsidRPr="00E01741" w:rsidRDefault="008D5D14" w:rsidP="008D5D14">
            <w:pPr>
              <w:autoSpaceDE w:val="0"/>
              <w:autoSpaceDN w:val="0"/>
              <w:adjustRightInd w:val="0"/>
              <w:jc w:val="center"/>
              <w:rPr>
                <w:rFonts w:ascii="Times New Roman" w:hAnsi="Times New Roman" w:cs="Times New Roman"/>
                <w:szCs w:val="14"/>
              </w:rPr>
            </w:pPr>
            <w:r w:rsidRPr="00E01741">
              <w:rPr>
                <w:rFonts w:ascii="Times New Roman" w:hAnsi="Times New Roman" w:cs="Times New Roman"/>
                <w:szCs w:val="14"/>
              </w:rPr>
              <w:t>Индекс развития сберегательного дела (вклады на душу населения к доходам)</w:t>
            </w:r>
          </w:p>
        </w:tc>
        <w:tc>
          <w:tcPr>
            <w:tcW w:w="2800" w:type="dxa"/>
          </w:tcPr>
          <w:p w:rsidR="008D5D14" w:rsidRPr="00E01741" w:rsidRDefault="008D5D14" w:rsidP="008D5D14">
            <w:pPr>
              <w:autoSpaceDE w:val="0"/>
              <w:autoSpaceDN w:val="0"/>
              <w:adjustRightInd w:val="0"/>
              <w:jc w:val="center"/>
              <w:rPr>
                <w:rFonts w:ascii="Times New Roman" w:hAnsi="Times New Roman" w:cs="Times New Roman"/>
                <w:szCs w:val="14"/>
              </w:rPr>
            </w:pPr>
            <w:r w:rsidRPr="00E01741">
              <w:rPr>
                <w:rFonts w:ascii="Times New Roman" w:hAnsi="Times New Roman" w:cs="Times New Roman"/>
                <w:szCs w:val="14"/>
              </w:rPr>
              <w:t>Совокупный индекс обеспеченности регионов банковскими услугами</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Центральный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1,48</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1,41</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Северо-западный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1,10</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0,98</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Южный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0,71</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0,80</w:t>
            </w:r>
          </w:p>
        </w:tc>
      </w:tr>
      <w:tr w:rsidR="008D5D14" w:rsidTr="008D5D14">
        <w:tc>
          <w:tcPr>
            <w:tcW w:w="4219" w:type="dxa"/>
          </w:tcPr>
          <w:p w:rsidR="008D5D14" w:rsidRPr="00E01741" w:rsidRDefault="008D5D14" w:rsidP="008D5D14">
            <w:pPr>
              <w:rPr>
                <w:rFonts w:ascii="Times New Roman" w:hAnsi="Times New Roman" w:cs="Times New Roman"/>
                <w:b/>
                <w:szCs w:val="24"/>
              </w:rPr>
            </w:pPr>
            <w:r w:rsidRPr="00E01741">
              <w:rPr>
                <w:rFonts w:ascii="Times New Roman" w:hAnsi="Times New Roman" w:cs="Times New Roman"/>
                <w:b/>
                <w:szCs w:val="24"/>
              </w:rPr>
              <w:t>Северо-Кавказский федеральный округ</w:t>
            </w:r>
          </w:p>
        </w:tc>
        <w:tc>
          <w:tcPr>
            <w:tcW w:w="2552" w:type="dxa"/>
          </w:tcPr>
          <w:p w:rsidR="008D5D14" w:rsidRPr="00E01741" w:rsidRDefault="008D5D14" w:rsidP="008D5D14">
            <w:pPr>
              <w:jc w:val="center"/>
              <w:rPr>
                <w:rFonts w:ascii="Times New Roman" w:hAnsi="Times New Roman" w:cs="Times New Roman"/>
                <w:b/>
                <w:szCs w:val="24"/>
              </w:rPr>
            </w:pPr>
            <w:r w:rsidRPr="00E01741">
              <w:rPr>
                <w:rFonts w:ascii="Times New Roman" w:hAnsi="Times New Roman" w:cs="Times New Roman"/>
                <w:b/>
                <w:szCs w:val="24"/>
              </w:rPr>
              <w:t>0,32</w:t>
            </w:r>
          </w:p>
        </w:tc>
        <w:tc>
          <w:tcPr>
            <w:tcW w:w="2800" w:type="dxa"/>
          </w:tcPr>
          <w:p w:rsidR="008D5D14" w:rsidRPr="00E01741" w:rsidRDefault="008D5D14" w:rsidP="008D5D14">
            <w:pPr>
              <w:jc w:val="center"/>
              <w:rPr>
                <w:rFonts w:ascii="Times New Roman" w:hAnsi="Times New Roman" w:cs="Times New Roman"/>
                <w:b/>
                <w:szCs w:val="24"/>
              </w:rPr>
            </w:pPr>
            <w:r w:rsidRPr="00E01741">
              <w:rPr>
                <w:rFonts w:ascii="Times New Roman" w:hAnsi="Times New Roman" w:cs="Times New Roman"/>
                <w:b/>
                <w:szCs w:val="24"/>
              </w:rPr>
              <w:t>0,47</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Поволжский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0,76</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0,78</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Уральский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0,78</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0,65</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Сибирский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0,68</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0,70</w:t>
            </w:r>
          </w:p>
        </w:tc>
      </w:tr>
      <w:tr w:rsidR="008D5D14" w:rsidTr="008D5D14">
        <w:tc>
          <w:tcPr>
            <w:tcW w:w="4219" w:type="dxa"/>
          </w:tcPr>
          <w:p w:rsidR="008D5D14" w:rsidRPr="00E01741" w:rsidRDefault="008D5D14" w:rsidP="008D5D14">
            <w:pPr>
              <w:rPr>
                <w:rFonts w:ascii="Times New Roman" w:hAnsi="Times New Roman" w:cs="Times New Roman"/>
                <w:szCs w:val="24"/>
              </w:rPr>
            </w:pPr>
            <w:r w:rsidRPr="00E01741">
              <w:rPr>
                <w:rFonts w:ascii="Times New Roman" w:hAnsi="Times New Roman" w:cs="Times New Roman"/>
                <w:szCs w:val="24"/>
              </w:rPr>
              <w:t>Дальневосточный федеральный округ</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0,78</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0,66</w:t>
            </w:r>
          </w:p>
        </w:tc>
      </w:tr>
      <w:tr w:rsidR="008D5D14" w:rsidTr="008D5D14">
        <w:tc>
          <w:tcPr>
            <w:tcW w:w="4219"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Итого по Российской Федерации</w:t>
            </w:r>
          </w:p>
        </w:tc>
        <w:tc>
          <w:tcPr>
            <w:tcW w:w="2552"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1,0</w:t>
            </w:r>
          </w:p>
        </w:tc>
        <w:tc>
          <w:tcPr>
            <w:tcW w:w="2800" w:type="dxa"/>
          </w:tcPr>
          <w:p w:rsidR="008D5D14" w:rsidRPr="00E01741" w:rsidRDefault="008D5D14" w:rsidP="008D5D14">
            <w:pPr>
              <w:jc w:val="center"/>
              <w:rPr>
                <w:rFonts w:ascii="Times New Roman" w:hAnsi="Times New Roman" w:cs="Times New Roman"/>
                <w:szCs w:val="24"/>
              </w:rPr>
            </w:pPr>
            <w:r w:rsidRPr="00E01741">
              <w:rPr>
                <w:rFonts w:ascii="Times New Roman" w:hAnsi="Times New Roman" w:cs="Times New Roman"/>
                <w:szCs w:val="24"/>
              </w:rPr>
              <w:t>1,0</w:t>
            </w:r>
          </w:p>
        </w:tc>
      </w:tr>
    </w:tbl>
    <w:p w:rsidR="008D5D14" w:rsidRPr="006C1654" w:rsidRDefault="008D5D14" w:rsidP="008D5D14">
      <w:pPr>
        <w:jc w:val="both"/>
        <w:rPr>
          <w:rFonts w:ascii="Times New Roman" w:hAnsi="Times New Roman" w:cs="Times New Roman"/>
          <w:sz w:val="20"/>
          <w:szCs w:val="24"/>
        </w:rPr>
      </w:pPr>
      <w:proofErr w:type="gramStart"/>
      <w:r>
        <w:rPr>
          <w:rFonts w:ascii="Times New Roman" w:hAnsi="Times New Roman" w:cs="Times New Roman"/>
          <w:sz w:val="20"/>
          <w:szCs w:val="24"/>
        </w:rPr>
        <w:t xml:space="preserve">*) </w:t>
      </w:r>
      <w:r w:rsidRPr="00824ECD">
        <w:rPr>
          <w:rFonts w:ascii="Times New Roman" w:hAnsi="Times New Roman" w:cs="Times New Roman"/>
          <w:sz w:val="20"/>
          <w:szCs w:val="24"/>
        </w:rPr>
        <w:t>Данные взяты с официального документа Банка России - «Отчет о развитии банковского сектора и банковского надзора в 2011 году»</w:t>
      </w:r>
      <w:proofErr w:type="gramEnd"/>
    </w:p>
    <w:p w:rsidR="008D5D14" w:rsidRPr="00C56334" w:rsidRDefault="008D5D14" w:rsidP="008D5D14">
      <w:pPr>
        <w:spacing w:line="360" w:lineRule="auto"/>
        <w:jc w:val="both"/>
        <w:rPr>
          <w:rFonts w:ascii="Times New Roman" w:hAnsi="Times New Roman" w:cs="Times New Roman"/>
          <w:sz w:val="28"/>
          <w:szCs w:val="28"/>
        </w:rPr>
      </w:pPr>
      <w:r>
        <w:rPr>
          <w:rFonts w:ascii="Times New Roman" w:hAnsi="Times New Roman" w:cs="Times New Roman"/>
          <w:sz w:val="24"/>
        </w:rPr>
        <w:tab/>
      </w:r>
      <w:r w:rsidRPr="00C56334">
        <w:rPr>
          <w:rFonts w:ascii="Times New Roman" w:hAnsi="Times New Roman" w:cs="Times New Roman"/>
          <w:sz w:val="28"/>
          <w:szCs w:val="28"/>
        </w:rPr>
        <w:t xml:space="preserve">остаточно острой является проблема неразвитости банковского сектора Чеченской республики, существенного отставания по всем пяти критериям уровня обеспеченности банковскими услугами.  Сложившийся в Чеченской республике самый низкий по России уровень банковских услуг является серьезным сдерживающим фактором развития экономики, </w:t>
      </w:r>
      <w:proofErr w:type="gramStart"/>
      <w:r w:rsidRPr="00C56334">
        <w:rPr>
          <w:rFonts w:ascii="Times New Roman" w:hAnsi="Times New Roman" w:cs="Times New Roman"/>
          <w:sz w:val="28"/>
          <w:szCs w:val="28"/>
        </w:rPr>
        <w:t>а</w:t>
      </w:r>
      <w:proofErr w:type="gramEnd"/>
      <w:r w:rsidRPr="00C56334">
        <w:rPr>
          <w:rFonts w:ascii="Times New Roman" w:hAnsi="Times New Roman" w:cs="Times New Roman"/>
          <w:sz w:val="28"/>
          <w:szCs w:val="28"/>
        </w:rPr>
        <w:t xml:space="preserve"> следовательно и налогового потенциала Чеченской республики. Так, </w:t>
      </w:r>
      <w:r w:rsidRPr="00C56334">
        <w:rPr>
          <w:rFonts w:ascii="Times New Roman" w:hAnsi="Times New Roman" w:cs="Times New Roman"/>
          <w:i/>
          <w:sz w:val="28"/>
          <w:szCs w:val="28"/>
        </w:rPr>
        <w:t xml:space="preserve">по уровню  совокупного индекса обеспеченности регионов банковскими услугами </w:t>
      </w:r>
      <w:r w:rsidRPr="00C56334">
        <w:rPr>
          <w:rFonts w:ascii="Times New Roman" w:hAnsi="Times New Roman" w:cs="Times New Roman"/>
          <w:sz w:val="28"/>
          <w:szCs w:val="28"/>
        </w:rPr>
        <w:t xml:space="preserve"> и </w:t>
      </w:r>
      <w:r w:rsidRPr="00C56334">
        <w:rPr>
          <w:rFonts w:ascii="Times New Roman" w:hAnsi="Times New Roman" w:cs="Times New Roman"/>
          <w:i/>
          <w:sz w:val="28"/>
          <w:szCs w:val="28"/>
        </w:rPr>
        <w:t>уровню индекса развития сберегательного дела (вклады на душу населения к доходам)</w:t>
      </w:r>
      <w:r w:rsidRPr="00C56334">
        <w:rPr>
          <w:rFonts w:ascii="Times New Roman" w:hAnsi="Times New Roman" w:cs="Times New Roman"/>
          <w:sz w:val="28"/>
          <w:szCs w:val="28"/>
        </w:rPr>
        <w:t xml:space="preserve"> СКФО по состоянию на 01.01.2012 занимает последнее восьмое место среди федеральных округов РФ. По первому показателю уровень ниже среднего уровня по России в 2,0 раза, а по второму – 3,0 раза (см. табл.10). А в рамках СКФО: </w:t>
      </w:r>
    </w:p>
    <w:p w:rsidR="008D5D14" w:rsidRPr="00C56334" w:rsidRDefault="008D5D14" w:rsidP="008D5D14">
      <w:pPr>
        <w:pStyle w:val="aa"/>
        <w:numPr>
          <w:ilvl w:val="0"/>
          <w:numId w:val="27"/>
        </w:num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по </w:t>
      </w:r>
      <w:r w:rsidRPr="00C56334">
        <w:rPr>
          <w:rFonts w:ascii="Times New Roman" w:hAnsi="Times New Roman" w:cs="Times New Roman"/>
          <w:i/>
          <w:sz w:val="28"/>
          <w:szCs w:val="28"/>
        </w:rPr>
        <w:t>показателю институциональной насыщенности банковскими услугами (по населению)</w:t>
      </w:r>
      <w:r w:rsidRPr="00C56334">
        <w:rPr>
          <w:rFonts w:ascii="Times New Roman" w:hAnsi="Times New Roman" w:cs="Times New Roman"/>
          <w:sz w:val="28"/>
          <w:szCs w:val="28"/>
        </w:rPr>
        <w:t xml:space="preserve"> Чеченская республика (0,17) занимает </w:t>
      </w:r>
      <w:r w:rsidRPr="00C56334">
        <w:rPr>
          <w:rFonts w:ascii="Times New Roman" w:hAnsi="Times New Roman" w:cs="Times New Roman"/>
          <w:sz w:val="28"/>
          <w:szCs w:val="28"/>
        </w:rPr>
        <w:lastRenderedPageBreak/>
        <w:t xml:space="preserve">последнее седьмое место в СКФО (0,53) - ниже среднего уровня по РФ в 6 раз;  </w:t>
      </w:r>
    </w:p>
    <w:p w:rsidR="008D5D14" w:rsidRPr="00C56334" w:rsidRDefault="008D5D14" w:rsidP="008D5D14">
      <w:pPr>
        <w:pStyle w:val="aa"/>
        <w:numPr>
          <w:ilvl w:val="0"/>
          <w:numId w:val="27"/>
        </w:num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по </w:t>
      </w:r>
      <w:r w:rsidRPr="00C56334">
        <w:rPr>
          <w:rFonts w:ascii="Times New Roman" w:hAnsi="Times New Roman" w:cs="Times New Roman"/>
          <w:i/>
          <w:sz w:val="28"/>
          <w:szCs w:val="28"/>
        </w:rPr>
        <w:t>показателю финансовой насыщенности банковскими услугами (по активам)</w:t>
      </w:r>
      <w:r w:rsidRPr="00C56334">
        <w:rPr>
          <w:rFonts w:ascii="Times New Roman" w:hAnsi="Times New Roman" w:cs="Times New Roman"/>
          <w:sz w:val="28"/>
          <w:szCs w:val="28"/>
        </w:rPr>
        <w:t xml:space="preserve"> Чеченская республика (0,22) делит  с Республикой Дагестан (0,20) последние (6-е и 7-е) места в СКФО (0,39) - ниж</w:t>
      </w:r>
      <w:r w:rsidR="007F4AB9">
        <w:rPr>
          <w:rFonts w:ascii="Times New Roman" w:hAnsi="Times New Roman" w:cs="Times New Roman"/>
          <w:sz w:val="28"/>
          <w:szCs w:val="28"/>
        </w:rPr>
        <w:t>е среднего уровня по РФ в 5 раз</w:t>
      </w:r>
      <w:r w:rsidRPr="00C56334">
        <w:rPr>
          <w:rFonts w:ascii="Times New Roman" w:hAnsi="Times New Roman" w:cs="Times New Roman"/>
          <w:sz w:val="28"/>
          <w:szCs w:val="28"/>
        </w:rPr>
        <w:t xml:space="preserve">; </w:t>
      </w:r>
    </w:p>
    <w:p w:rsidR="008D5D14" w:rsidRPr="00C56334" w:rsidRDefault="008D5D14" w:rsidP="008D5D14">
      <w:pPr>
        <w:pStyle w:val="aa"/>
        <w:numPr>
          <w:ilvl w:val="0"/>
          <w:numId w:val="27"/>
        </w:numPr>
        <w:spacing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по </w:t>
      </w:r>
      <w:r w:rsidRPr="00C56334">
        <w:rPr>
          <w:rFonts w:ascii="Times New Roman" w:hAnsi="Times New Roman" w:cs="Times New Roman"/>
          <w:i/>
          <w:sz w:val="28"/>
          <w:szCs w:val="28"/>
        </w:rPr>
        <w:t>показателю финансовой насыщенности банковскими услугами (по объему кредитов)</w:t>
      </w:r>
      <w:r w:rsidRPr="00C56334">
        <w:rPr>
          <w:rFonts w:ascii="Times New Roman" w:hAnsi="Times New Roman" w:cs="Times New Roman"/>
          <w:sz w:val="28"/>
          <w:szCs w:val="28"/>
        </w:rPr>
        <w:t xml:space="preserve"> Чеченская республика (0,46) занимает предпоследнее место в СКФО (0,71) -  в 2 раза меньше среднего уровня по РФ (см. табл.11).</w:t>
      </w:r>
    </w:p>
    <w:p w:rsidR="008D5D14" w:rsidRPr="00C56334" w:rsidRDefault="008D5D14" w:rsidP="008D5D14">
      <w:pPr>
        <w:jc w:val="right"/>
        <w:rPr>
          <w:rFonts w:ascii="Times New Roman" w:hAnsi="Times New Roman" w:cs="Times New Roman"/>
          <w:sz w:val="28"/>
          <w:szCs w:val="28"/>
        </w:rPr>
      </w:pPr>
      <w:r w:rsidRPr="00C56334">
        <w:rPr>
          <w:rFonts w:ascii="Times New Roman" w:hAnsi="Times New Roman" w:cs="Times New Roman"/>
          <w:sz w:val="28"/>
          <w:szCs w:val="28"/>
        </w:rPr>
        <w:t xml:space="preserve"> Таблица № 11</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Обеспеченность регионов СКФО банковскими услугами по состоянию                                  на 01.01.2012*</w:t>
      </w:r>
    </w:p>
    <w:tbl>
      <w:tblPr>
        <w:tblStyle w:val="a9"/>
        <w:tblW w:w="9856" w:type="dxa"/>
        <w:tblLook w:val="04A0" w:firstRow="1" w:lastRow="0" w:firstColumn="1" w:lastColumn="0" w:noHBand="0" w:noVBand="1"/>
      </w:tblPr>
      <w:tblGrid>
        <w:gridCol w:w="2392"/>
        <w:gridCol w:w="2678"/>
        <w:gridCol w:w="2393"/>
        <w:gridCol w:w="2393"/>
      </w:tblGrid>
      <w:tr w:rsidR="008D5D14" w:rsidRPr="00E01741" w:rsidTr="00EC4DBC">
        <w:trPr>
          <w:trHeight w:val="932"/>
        </w:trPr>
        <w:tc>
          <w:tcPr>
            <w:tcW w:w="2392" w:type="dxa"/>
          </w:tcPr>
          <w:p w:rsidR="008D5D14" w:rsidRPr="00E01741" w:rsidRDefault="008D5D14" w:rsidP="008D5D14">
            <w:pPr>
              <w:jc w:val="both"/>
              <w:rPr>
                <w:rFonts w:ascii="Times New Roman" w:hAnsi="Times New Roman" w:cs="Times New Roman"/>
                <w:sz w:val="20"/>
                <w:szCs w:val="24"/>
              </w:rPr>
            </w:pPr>
          </w:p>
        </w:tc>
        <w:tc>
          <w:tcPr>
            <w:tcW w:w="2678" w:type="dxa"/>
          </w:tcPr>
          <w:p w:rsidR="008D5D14" w:rsidRPr="00E01741" w:rsidRDefault="008D5D14" w:rsidP="00EC4DBC">
            <w:pPr>
              <w:jc w:val="center"/>
              <w:rPr>
                <w:rFonts w:ascii="Times New Roman" w:hAnsi="Times New Roman" w:cs="Times New Roman"/>
                <w:sz w:val="20"/>
                <w:szCs w:val="24"/>
              </w:rPr>
            </w:pPr>
            <w:r w:rsidRPr="00E01741">
              <w:rPr>
                <w:rFonts w:ascii="Times New Roman" w:hAnsi="Times New Roman" w:cs="Times New Roman"/>
                <w:sz w:val="20"/>
                <w:szCs w:val="24"/>
              </w:rPr>
              <w:t>Институциональная насыщенность банковскими услугами (по численности населения)</w:t>
            </w:r>
          </w:p>
        </w:tc>
        <w:tc>
          <w:tcPr>
            <w:tcW w:w="2393" w:type="dxa"/>
          </w:tcPr>
          <w:p w:rsidR="008D5D14" w:rsidRPr="00E01741" w:rsidRDefault="008D5D14" w:rsidP="00EC4DBC">
            <w:pPr>
              <w:jc w:val="center"/>
              <w:rPr>
                <w:rFonts w:ascii="Times New Roman" w:hAnsi="Times New Roman" w:cs="Times New Roman"/>
                <w:b/>
                <w:sz w:val="20"/>
                <w:szCs w:val="24"/>
              </w:rPr>
            </w:pPr>
            <w:r w:rsidRPr="00E01741">
              <w:rPr>
                <w:rFonts w:ascii="Times New Roman" w:hAnsi="Times New Roman" w:cs="Times New Roman"/>
                <w:sz w:val="20"/>
                <w:szCs w:val="24"/>
              </w:rPr>
              <w:t>Финансовая насыщенность банковскими услугами                        (по активам)</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Финансовая насыщенность банковскими услугами                        (по объему кредитов)</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Республика Дагестан</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0,45</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0,20</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0,27</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Республика Ингушетия</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0,24</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0,45</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0,89</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Кабардино-Балкарская Республика</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0,51</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0,38</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1,12</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Карачаево-Черкесская Республика</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0,43</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0,37</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1,31</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Республика Северная Осетия – Алания</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0,48</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0,34</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0,71</w:t>
            </w:r>
          </w:p>
        </w:tc>
      </w:tr>
      <w:tr w:rsidR="008D5D14" w:rsidRPr="00E01741" w:rsidTr="00EC4DBC">
        <w:tc>
          <w:tcPr>
            <w:tcW w:w="2392" w:type="dxa"/>
          </w:tcPr>
          <w:p w:rsidR="008D5D14" w:rsidRPr="00E01741" w:rsidRDefault="008D5D14" w:rsidP="008D5D14">
            <w:pPr>
              <w:jc w:val="both"/>
              <w:rPr>
                <w:rFonts w:ascii="Times New Roman" w:hAnsi="Times New Roman" w:cs="Times New Roman"/>
                <w:b/>
                <w:sz w:val="20"/>
                <w:szCs w:val="24"/>
              </w:rPr>
            </w:pPr>
            <w:r w:rsidRPr="00E01741">
              <w:rPr>
                <w:rFonts w:ascii="Times New Roman" w:hAnsi="Times New Roman" w:cs="Times New Roman"/>
                <w:b/>
                <w:sz w:val="20"/>
                <w:szCs w:val="24"/>
              </w:rPr>
              <w:t>Чеченская Республика</w:t>
            </w:r>
          </w:p>
        </w:tc>
        <w:tc>
          <w:tcPr>
            <w:tcW w:w="2678" w:type="dxa"/>
          </w:tcPr>
          <w:p w:rsidR="008D5D14" w:rsidRPr="00E01741" w:rsidRDefault="008D5D14" w:rsidP="008D5D14">
            <w:pPr>
              <w:jc w:val="center"/>
              <w:rPr>
                <w:rFonts w:ascii="Times New Roman" w:hAnsi="Times New Roman" w:cs="Times New Roman"/>
                <w:b/>
                <w:sz w:val="20"/>
                <w:szCs w:val="24"/>
              </w:rPr>
            </w:pPr>
            <w:r w:rsidRPr="00E01741">
              <w:rPr>
                <w:rFonts w:ascii="Times New Roman" w:hAnsi="Times New Roman" w:cs="Times New Roman"/>
                <w:b/>
                <w:sz w:val="20"/>
                <w:szCs w:val="24"/>
              </w:rPr>
              <w:t>0,17</w:t>
            </w:r>
          </w:p>
        </w:tc>
        <w:tc>
          <w:tcPr>
            <w:tcW w:w="2393" w:type="dxa"/>
          </w:tcPr>
          <w:p w:rsidR="008D5D14" w:rsidRPr="00E01741" w:rsidRDefault="008D5D14" w:rsidP="008D5D14">
            <w:pPr>
              <w:jc w:val="center"/>
              <w:rPr>
                <w:rFonts w:ascii="Times New Roman" w:hAnsi="Times New Roman" w:cs="Times New Roman"/>
                <w:b/>
                <w:sz w:val="20"/>
                <w:szCs w:val="24"/>
              </w:rPr>
            </w:pPr>
            <w:r w:rsidRPr="00E01741">
              <w:rPr>
                <w:rFonts w:ascii="Times New Roman" w:hAnsi="Times New Roman" w:cs="Times New Roman"/>
                <w:b/>
                <w:sz w:val="20"/>
                <w:szCs w:val="24"/>
              </w:rPr>
              <w:t>0,22</w:t>
            </w:r>
          </w:p>
        </w:tc>
        <w:tc>
          <w:tcPr>
            <w:tcW w:w="2393" w:type="dxa"/>
          </w:tcPr>
          <w:p w:rsidR="008D5D14" w:rsidRPr="00E01741" w:rsidRDefault="008D5D14" w:rsidP="008D5D14">
            <w:pPr>
              <w:jc w:val="center"/>
              <w:rPr>
                <w:rFonts w:ascii="Times New Roman" w:hAnsi="Times New Roman" w:cs="Times New Roman"/>
                <w:b/>
                <w:sz w:val="20"/>
                <w:szCs w:val="24"/>
              </w:rPr>
            </w:pPr>
            <w:r w:rsidRPr="00E01741">
              <w:rPr>
                <w:rFonts w:ascii="Times New Roman" w:hAnsi="Times New Roman" w:cs="Times New Roman"/>
                <w:b/>
                <w:sz w:val="20"/>
                <w:szCs w:val="24"/>
              </w:rPr>
              <w:t>0,46</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Ставропольский край</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0,88</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0,63</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0,95</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Итого по регионам СКФО</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0,53</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0,39</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0,71</w:t>
            </w:r>
          </w:p>
        </w:tc>
      </w:tr>
      <w:tr w:rsidR="008D5D14" w:rsidRPr="00E01741" w:rsidTr="00EC4DBC">
        <w:tc>
          <w:tcPr>
            <w:tcW w:w="2392" w:type="dxa"/>
          </w:tcPr>
          <w:p w:rsidR="008D5D14" w:rsidRPr="00E01741" w:rsidRDefault="008D5D14" w:rsidP="008D5D14">
            <w:pPr>
              <w:jc w:val="both"/>
              <w:rPr>
                <w:rFonts w:ascii="Times New Roman" w:hAnsi="Times New Roman" w:cs="Times New Roman"/>
                <w:sz w:val="20"/>
                <w:szCs w:val="24"/>
              </w:rPr>
            </w:pPr>
            <w:r w:rsidRPr="00E01741">
              <w:rPr>
                <w:rFonts w:ascii="Times New Roman" w:hAnsi="Times New Roman" w:cs="Times New Roman"/>
                <w:sz w:val="20"/>
                <w:szCs w:val="24"/>
              </w:rPr>
              <w:t>Итого по РФ</w:t>
            </w:r>
          </w:p>
        </w:tc>
        <w:tc>
          <w:tcPr>
            <w:tcW w:w="2678"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1,0</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1,0</w:t>
            </w:r>
          </w:p>
        </w:tc>
        <w:tc>
          <w:tcPr>
            <w:tcW w:w="2393" w:type="dxa"/>
          </w:tcPr>
          <w:p w:rsidR="008D5D14" w:rsidRPr="00E01741" w:rsidRDefault="008D5D14" w:rsidP="008D5D14">
            <w:pPr>
              <w:jc w:val="center"/>
              <w:rPr>
                <w:rFonts w:ascii="Times New Roman" w:hAnsi="Times New Roman" w:cs="Times New Roman"/>
                <w:sz w:val="20"/>
                <w:szCs w:val="24"/>
              </w:rPr>
            </w:pPr>
            <w:r w:rsidRPr="00E01741">
              <w:rPr>
                <w:rFonts w:ascii="Times New Roman" w:hAnsi="Times New Roman" w:cs="Times New Roman"/>
                <w:sz w:val="20"/>
                <w:szCs w:val="24"/>
              </w:rPr>
              <w:t>1,0</w:t>
            </w:r>
          </w:p>
        </w:tc>
      </w:tr>
    </w:tbl>
    <w:p w:rsidR="008D5D14" w:rsidRPr="0004245C" w:rsidRDefault="008D5D14" w:rsidP="008D5D14">
      <w:pPr>
        <w:jc w:val="both"/>
        <w:rPr>
          <w:rFonts w:ascii="Times New Roman" w:hAnsi="Times New Roman" w:cs="Times New Roman"/>
          <w:b/>
        </w:rPr>
      </w:pPr>
      <w:proofErr w:type="gramStart"/>
      <w:r>
        <w:rPr>
          <w:rFonts w:ascii="Times New Roman" w:hAnsi="Times New Roman" w:cs="Times New Roman"/>
        </w:rPr>
        <w:t xml:space="preserve">*) </w:t>
      </w:r>
      <w:r w:rsidRPr="00824ECD">
        <w:rPr>
          <w:rFonts w:ascii="Times New Roman" w:hAnsi="Times New Roman" w:cs="Times New Roman"/>
        </w:rPr>
        <w:t>Данные взяты с официального</w:t>
      </w:r>
      <w:r w:rsidRPr="00824ECD">
        <w:rPr>
          <w:rFonts w:ascii="Times New Roman" w:hAnsi="Times New Roman" w:cs="Times New Roman"/>
          <w:b/>
        </w:rPr>
        <w:t xml:space="preserve"> </w:t>
      </w:r>
      <w:r w:rsidRPr="00824ECD">
        <w:rPr>
          <w:rFonts w:ascii="Times New Roman" w:hAnsi="Times New Roman" w:cs="Times New Roman"/>
        </w:rPr>
        <w:t>сайта Банка</w:t>
      </w:r>
      <w:r w:rsidRPr="00824ECD">
        <w:rPr>
          <w:rFonts w:ascii="Times New Roman" w:hAnsi="Times New Roman" w:cs="Times New Roman"/>
          <w:b/>
        </w:rPr>
        <w:t xml:space="preserve"> </w:t>
      </w:r>
      <w:r w:rsidRPr="00824ECD">
        <w:rPr>
          <w:rFonts w:ascii="Times New Roman" w:hAnsi="Times New Roman" w:cs="Times New Roman"/>
        </w:rPr>
        <w:t>России -</w:t>
      </w:r>
      <w:r w:rsidRPr="00824ECD">
        <w:rPr>
          <w:rFonts w:ascii="Times New Roman" w:hAnsi="Times New Roman" w:cs="Times New Roman"/>
          <w:b/>
        </w:rPr>
        <w:t xml:space="preserve"> </w:t>
      </w:r>
      <w:r w:rsidRPr="00824ECD">
        <w:rPr>
          <w:rFonts w:ascii="Times New Roman" w:hAnsi="Times New Roman" w:cs="Times New Roman"/>
          <w:szCs w:val="24"/>
        </w:rPr>
        <w:t>«Отчет о развитии банковского сектора и банковского надзора в 2011 году»</w:t>
      </w:r>
      <w:proofErr w:type="gramEnd"/>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 xml:space="preserve">: </w:t>
      </w:r>
    </w:p>
    <w:p w:rsidR="008D5D14" w:rsidRPr="00C56334" w:rsidRDefault="008D5D14" w:rsidP="00C56334">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Обоснование выбора видов производств по каждому из семи кластеров региональной экономики. </w:t>
      </w:r>
      <w:r w:rsidRPr="00C56334">
        <w:rPr>
          <w:rFonts w:ascii="Times New Roman" w:hAnsi="Times New Roman" w:cs="Times New Roman"/>
          <w:sz w:val="28"/>
          <w:szCs w:val="28"/>
        </w:rPr>
        <w:t xml:space="preserve">В рамках каждой реперной точки развития экономики республики Министерством экономического развития и торговли ЧР совместно с отраслевыми министерствами и ведомствами необходимо обосновать выбор одного или двух видов производств, </w:t>
      </w:r>
      <w:r w:rsidRPr="00C56334">
        <w:rPr>
          <w:rFonts w:ascii="Times New Roman" w:hAnsi="Times New Roman" w:cs="Times New Roman"/>
          <w:sz w:val="28"/>
          <w:szCs w:val="28"/>
        </w:rPr>
        <w:lastRenderedPageBreak/>
        <w:t xml:space="preserve">основанных на конкретном местном ресурсе (с привязкой к определенному сырью, источникам, рабочей силе), по каждому из этих семи кластеров. Именно эти первые 7-14 видов производств должны быть приоритетами в инвестиционной политике правительства Чеченской республики на ближайший пятилетний период. </w:t>
      </w:r>
    </w:p>
    <w:p w:rsidR="008D5D14" w:rsidRPr="00C56334" w:rsidRDefault="008D5D14" w:rsidP="00C56334">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Коррекция принятых республиканских целевых программ. </w:t>
      </w:r>
      <w:r w:rsidRPr="00C56334">
        <w:rPr>
          <w:rFonts w:ascii="Times New Roman" w:hAnsi="Times New Roman" w:cs="Times New Roman"/>
          <w:sz w:val="28"/>
          <w:szCs w:val="28"/>
        </w:rPr>
        <w:t xml:space="preserve">Министерству финансов ЧР совместно с Министерством экономического развития и торговли ЧР на основе предложений заинтересованных министерств и ведомств внести предложения  и дополнения </w:t>
      </w:r>
      <w:r w:rsidRPr="00C56334">
        <w:rPr>
          <w:rFonts w:ascii="Times New Roman" w:hAnsi="Times New Roman" w:cs="Times New Roman"/>
          <w:i/>
          <w:sz w:val="28"/>
          <w:szCs w:val="28"/>
        </w:rPr>
        <w:t xml:space="preserve">к  </w:t>
      </w:r>
      <w:r w:rsidRPr="00C56334">
        <w:rPr>
          <w:rFonts w:ascii="Times New Roman" w:hAnsi="Times New Roman" w:cs="Times New Roman"/>
          <w:sz w:val="28"/>
          <w:szCs w:val="28"/>
        </w:rPr>
        <w:t xml:space="preserve">ранее принятым правительством Чеченской республики 49 республиканским целевым программам.  </w:t>
      </w:r>
    </w:p>
    <w:p w:rsidR="008D5D14" w:rsidRPr="00C56334" w:rsidRDefault="008D5D14" w:rsidP="00C56334">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Выработка предложений по коррекции федеральной целевой программы.  </w:t>
      </w:r>
      <w:r w:rsidRPr="00C56334">
        <w:rPr>
          <w:rFonts w:ascii="Times New Roman" w:hAnsi="Times New Roman" w:cs="Times New Roman"/>
          <w:sz w:val="28"/>
          <w:szCs w:val="28"/>
        </w:rPr>
        <w:t>Правительству Чеченской республики внести в правительство РФ предложения и уточнения по Подпрограмме 5 «</w:t>
      </w:r>
      <w:r w:rsidRPr="00C56334">
        <w:rPr>
          <w:rFonts w:ascii="Times New Roman" w:eastAsia="Times New Roman" w:hAnsi="Times New Roman" w:cs="Times New Roman"/>
          <w:bCs/>
          <w:sz w:val="28"/>
          <w:szCs w:val="28"/>
          <w:lang w:eastAsia="ru-RU"/>
        </w:rPr>
        <w:t xml:space="preserve">Обеспечение устойчивого развития Чеченской Республики»  </w:t>
      </w:r>
      <w:r w:rsidRPr="00C56334">
        <w:rPr>
          <w:rFonts w:ascii="Times New Roman" w:hAnsi="Times New Roman" w:cs="Times New Roman"/>
          <w:sz w:val="28"/>
          <w:szCs w:val="28"/>
        </w:rPr>
        <w:t xml:space="preserve">Государственной программы «Развитие Северо-Кавказского федерального округа на период 2013 - 2020 гг. </w:t>
      </w:r>
    </w:p>
    <w:p w:rsidR="008D5D14" w:rsidRPr="00C56334" w:rsidRDefault="008D5D14" w:rsidP="00C56334">
      <w:pPr>
        <w:pStyle w:val="aa"/>
        <w:numPr>
          <w:ilvl w:val="0"/>
          <w:numId w:val="15"/>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Разработка мер по развитию банковского сектора. </w:t>
      </w:r>
      <w:r w:rsidRPr="00C56334">
        <w:rPr>
          <w:rFonts w:ascii="Times New Roman" w:hAnsi="Times New Roman" w:cs="Times New Roman"/>
          <w:sz w:val="28"/>
          <w:szCs w:val="28"/>
        </w:rPr>
        <w:t>Правительству Чеченской республики совместно с Банком России необходимо создать условия роста уровня обеспеченности населения и организаций республики банковскими услугами.</w:t>
      </w:r>
    </w:p>
    <w:p w:rsidR="008D5D14" w:rsidRPr="00C56334" w:rsidRDefault="00E0041C"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r>
      <w:r w:rsidR="008D5D14" w:rsidRPr="00C56334">
        <w:rPr>
          <w:rFonts w:ascii="Times New Roman" w:hAnsi="Times New Roman" w:cs="Times New Roman"/>
          <w:b/>
          <w:sz w:val="28"/>
          <w:szCs w:val="28"/>
        </w:rPr>
        <w:t>2. Налоги на доходы физических лиц.</w:t>
      </w:r>
      <w:r w:rsidR="008D5D14" w:rsidRPr="00C56334">
        <w:rPr>
          <w:rFonts w:ascii="Times New Roman" w:hAnsi="Times New Roman" w:cs="Times New Roman"/>
          <w:sz w:val="28"/>
          <w:szCs w:val="28"/>
        </w:rPr>
        <w:t xml:space="preserve"> Увеличение налоговой базы по налогам на доходы физических лиц возможно в двух направления: </w:t>
      </w:r>
    </w:p>
    <w:p w:rsidR="008D5D14" w:rsidRPr="00C56334" w:rsidRDefault="008D5D14" w:rsidP="00C56334">
      <w:pPr>
        <w:pStyle w:val="aa"/>
        <w:numPr>
          <w:ilvl w:val="0"/>
          <w:numId w:val="14"/>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изменения существующей плоской шкалы налогообложения доходов физических лиц; </w:t>
      </w:r>
    </w:p>
    <w:p w:rsidR="008D5D14" w:rsidRPr="00C56334" w:rsidRDefault="008D5D14" w:rsidP="00C56334">
      <w:pPr>
        <w:pStyle w:val="aa"/>
        <w:numPr>
          <w:ilvl w:val="0"/>
          <w:numId w:val="14"/>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увеличения доходов физических лиц.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Замена существующей плоской шкалы налогообложения доходов физических лиц на прогрессивную шкалу находится в сфере компетенцией федеральных органов власти. Поэтому, основное внимание правительства ЧР </w:t>
      </w:r>
      <w:r w:rsidRPr="00C56334">
        <w:rPr>
          <w:rFonts w:ascii="Times New Roman" w:hAnsi="Times New Roman" w:cs="Times New Roman"/>
          <w:sz w:val="28"/>
          <w:szCs w:val="28"/>
        </w:rPr>
        <w:lastRenderedPageBreak/>
        <w:t xml:space="preserve">в наращивании налоговой базы по НДФЛ видится в направлении увеличения доходов физических лиц.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Увеличение  доходов физических лиц на территории Чеченской Республики возможно за счет: </w:t>
      </w:r>
    </w:p>
    <w:p w:rsidR="008D5D14" w:rsidRPr="00C56334" w:rsidRDefault="008D5D14" w:rsidP="00C56334">
      <w:pPr>
        <w:pStyle w:val="aa"/>
        <w:numPr>
          <w:ilvl w:val="0"/>
          <w:numId w:val="13"/>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увеличения уровня оплаты труда</w:t>
      </w:r>
      <w:r w:rsidRPr="00C56334">
        <w:rPr>
          <w:rFonts w:ascii="Times New Roman" w:hAnsi="Times New Roman" w:cs="Times New Roman"/>
          <w:sz w:val="28"/>
          <w:szCs w:val="28"/>
        </w:rPr>
        <w:t xml:space="preserve"> по всем направлениям экономической деятельности в Чеченской Республике и выхода на среднероссийские уровни; </w:t>
      </w:r>
    </w:p>
    <w:p w:rsidR="008D5D14" w:rsidRPr="00C56334" w:rsidRDefault="008D5D14" w:rsidP="00C56334">
      <w:pPr>
        <w:pStyle w:val="aa"/>
        <w:numPr>
          <w:ilvl w:val="0"/>
          <w:numId w:val="13"/>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повышения общего уровня занятости населения</w:t>
      </w:r>
      <w:r w:rsidRPr="00C56334">
        <w:rPr>
          <w:rFonts w:ascii="Times New Roman" w:hAnsi="Times New Roman" w:cs="Times New Roman"/>
          <w:sz w:val="28"/>
          <w:szCs w:val="28"/>
        </w:rPr>
        <w:t>, в том числе за счет развития форм надомного труда.</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Рост оплаты труда по видам экономической деятельности и в экономике Чеченской Республики в целом представляет собой сложный и непрерывный процесс, подлежащий регулированию на основе средне и долгосрочной программ выхода на среднероссийские  параметры.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Другим потенциалом роста доходов физических лиц в субъектах Российской Федерации является повышение общего уровня занятости населения региона. Чеченская республика считается не только депрессивным регионом РФ, а субъектом РФ с крайне низким уровнем занятости населения. Рост общего уровня занятости населения ЧР видится как в направления активизации реперных точек развития её экономики, так и в расширении масштаба охвата незанятой немобильной части населения различными формами и видами надомного труда.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 xml:space="preserve">: </w:t>
      </w:r>
    </w:p>
    <w:p w:rsidR="008D5D14" w:rsidRPr="00C56334" w:rsidRDefault="008D5D14" w:rsidP="00C56334">
      <w:pPr>
        <w:pStyle w:val="aa"/>
        <w:numPr>
          <w:ilvl w:val="0"/>
          <w:numId w:val="16"/>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рассчитать нижние пороги уровня оплаты труда на среднесрочный период.  </w:t>
      </w:r>
      <w:r w:rsidRPr="00C56334">
        <w:rPr>
          <w:rFonts w:ascii="Times New Roman" w:hAnsi="Times New Roman" w:cs="Times New Roman"/>
          <w:sz w:val="28"/>
          <w:szCs w:val="28"/>
        </w:rPr>
        <w:t>Правительством Чеченской Республики должны быть заданы нижние пороги роста уровня оплаты труда в региональной экономике, позволяющие в среднесрочной перспективе выйти на средний уровень по субъектам Российской Федерации.</w:t>
      </w:r>
    </w:p>
    <w:p w:rsidR="008D5D14" w:rsidRPr="00C56334" w:rsidRDefault="008D5D14" w:rsidP="00C56334">
      <w:pPr>
        <w:pStyle w:val="aa"/>
        <w:numPr>
          <w:ilvl w:val="0"/>
          <w:numId w:val="16"/>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 xml:space="preserve">разработать программу вовлечения незанятого населения к надомному труду. </w:t>
      </w:r>
      <w:r w:rsidRPr="00C56334">
        <w:rPr>
          <w:rFonts w:ascii="Times New Roman" w:hAnsi="Times New Roman" w:cs="Times New Roman"/>
          <w:sz w:val="28"/>
          <w:szCs w:val="28"/>
        </w:rPr>
        <w:t xml:space="preserve">Министерство экономического развития и торговли совместно с отраслевыми министерствами (Министерство </w:t>
      </w:r>
      <w:r w:rsidRPr="00C56334">
        <w:rPr>
          <w:rFonts w:ascii="Times New Roman" w:hAnsi="Times New Roman" w:cs="Times New Roman"/>
          <w:sz w:val="28"/>
          <w:szCs w:val="28"/>
        </w:rPr>
        <w:lastRenderedPageBreak/>
        <w:t>промышленности и энергетики ЧР, Министерство сельского хозяйства ЧР и др.) и ведомствами (Комитет по предпринимательству ЧР и др.) должно представить программу вовлечения немобильной части незанятого трудоспособного населения по перспективным формам и видам надомного труда.</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 xml:space="preserve">3. Налоги на товары (работы, услуги), реализуемые на территории РФ. </w:t>
      </w:r>
      <w:r w:rsidRPr="00C56334">
        <w:rPr>
          <w:rFonts w:ascii="Times New Roman" w:hAnsi="Times New Roman" w:cs="Times New Roman"/>
          <w:sz w:val="28"/>
          <w:szCs w:val="28"/>
        </w:rPr>
        <w:t>Доля доходов по налогам на товары (работы, услуги), реализуемые на территории Российской Федерации в структуре налоговых доходов консолидированного бюджета Чеченской Республики за 2012 год составила 23,4%. что  в 4,7 раза больше уровня по субъектам РФ СКФО и в 3,1 раза больше среднего уровня по всем субъектам РФ. Нельзя считать ситуацию по акцизам исключительной заслугой налогового администрирования ФНС по ЧР. Относительно прозрачная и простая процедура начисления акцизных сборов на фоне явных проблем определения налогооблагаемой базы по другим налогам (в частности, налоги на имущество), также является тому причиной.</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Налоговая база по налогам на товары (работы, услуги), реализуемые на территории РФ, зависит от различных факторов, влияющих на объемы реализации этих товаров (работ, услуг).  Произведенная на территории ЧР, но не реализованная на территории РФ продукция (товары, работы и услуги) увеличивают издержки предприятий и хозяйств республики. Тому свидетельство недопустимо высокие уровни просроченной  кредиторской (свыше 73,0%) в общем объеме кредиторской задолженности и просроченной дебиторской  задолженности (свыше 77,0%) в общем объеме дебиторской задолженности организаций Чеченской Республики.  Все это влияет на прибыльность этих организаций, что в свою очередь влияет на возможности  этих предприятий осуществлять своевременные платежи по налогу на прибыль и другие платежи. Так, задержки по погашению кредиторской задолженности предприятий по заработной плате влияют в свою очередь на поступления по налогу на доходы физических лиц. </w:t>
      </w:r>
    </w:p>
    <w:p w:rsidR="008D5D14" w:rsidRPr="00C56334" w:rsidRDefault="008D5D14" w:rsidP="00C56334">
      <w:pPr>
        <w:spacing w:after="0" w:line="360" w:lineRule="auto"/>
        <w:jc w:val="both"/>
        <w:rPr>
          <w:rFonts w:ascii="Times New Roman" w:hAnsi="Times New Roman" w:cs="Times New Roman"/>
          <w:i/>
          <w:sz w:val="28"/>
          <w:szCs w:val="28"/>
        </w:rPr>
      </w:pPr>
      <w:r w:rsidRPr="00C56334">
        <w:rPr>
          <w:rFonts w:ascii="Times New Roman" w:hAnsi="Times New Roman" w:cs="Times New Roman"/>
          <w:sz w:val="28"/>
          <w:szCs w:val="28"/>
          <w:u w:val="single"/>
        </w:rPr>
        <w:lastRenderedPageBreak/>
        <w:t>Рекомендации</w:t>
      </w:r>
      <w:r w:rsidRPr="00C56334">
        <w:rPr>
          <w:rFonts w:ascii="Times New Roman" w:hAnsi="Times New Roman" w:cs="Times New Roman"/>
          <w:sz w:val="28"/>
          <w:szCs w:val="28"/>
        </w:rPr>
        <w:t>:</w:t>
      </w:r>
    </w:p>
    <w:p w:rsidR="008D5D14" w:rsidRPr="00C56334" w:rsidRDefault="008D5D14" w:rsidP="00C56334">
      <w:pPr>
        <w:pStyle w:val="aa"/>
        <w:numPr>
          <w:ilvl w:val="0"/>
          <w:numId w:val="18"/>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разработать предложения по снижению уровня кредиторской и дебиторской задолженности предприятий ЧР</w:t>
      </w:r>
      <w:r w:rsidRPr="00C56334">
        <w:rPr>
          <w:rFonts w:ascii="Times New Roman" w:hAnsi="Times New Roman" w:cs="Times New Roman"/>
          <w:sz w:val="28"/>
          <w:szCs w:val="28"/>
        </w:rPr>
        <w:t xml:space="preserve">. Министерству финансов ЧР совместно с отраслевыми министерствами и ведомствами провести комплексный анализ состояния кредиторской и дебиторской задолженности по предприятиям, осуществляющих свою деятельность на территории Чеченской Республики.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b/>
          <w:sz w:val="28"/>
          <w:szCs w:val="28"/>
        </w:rPr>
        <w:tab/>
        <w:t>4. Налоги на имущество.</w:t>
      </w:r>
      <w:r w:rsidRPr="00C56334">
        <w:rPr>
          <w:rFonts w:ascii="Times New Roman" w:hAnsi="Times New Roman" w:cs="Times New Roman"/>
          <w:sz w:val="28"/>
          <w:szCs w:val="28"/>
        </w:rPr>
        <w:t xml:space="preserve"> Налоговая база Чеченской Республики по налогам на имущество включает в себя стоимость недвижимого имущества и транспортных средств, находящихся на балансе организаций и в собственности физических лиц, а также в их собственности или хозяйственном ведении земельных угодий и приусадебных земельных участков. Доля доходов от налогов на имущество в Чеченской Республики, составляющая всего 6,0% в налоговых доходах консолидированного бюджета ЧР существенно меньше  среднего уровня по субъектам РФ (13,6%) и по субъектам РФ СКФО (14,9%) соответственно в 2,3 раза и 2,5 раза. Это с одной стороны объясняется по известным объективными причинами, а с другой стороны - свидетельствует о значительных возможностях роста доходов консолидированного бюджета ЧР по налогам на имущество (налогам на недвижимое имущество организаций и физических лиц, транспортному и земельному налогам).</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u w:val="single"/>
        </w:rPr>
        <w:t>Рекомендации</w:t>
      </w:r>
      <w:r w:rsidRPr="00C56334">
        <w:rPr>
          <w:rFonts w:ascii="Times New Roman" w:hAnsi="Times New Roman" w:cs="Times New Roman"/>
          <w:sz w:val="28"/>
          <w:szCs w:val="28"/>
        </w:rPr>
        <w:t>:</w:t>
      </w:r>
    </w:p>
    <w:p w:rsidR="008D5D14" w:rsidRPr="00C56334" w:rsidRDefault="008D5D14" w:rsidP="00C56334">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i/>
          <w:sz w:val="28"/>
          <w:szCs w:val="28"/>
        </w:rPr>
        <w:t>рассчитать налогооблагаемую базу по имущественным налогам.</w:t>
      </w:r>
      <w:r w:rsidRPr="00C56334">
        <w:rPr>
          <w:rFonts w:ascii="Times New Roman" w:hAnsi="Times New Roman" w:cs="Times New Roman"/>
          <w:sz w:val="28"/>
          <w:szCs w:val="28"/>
        </w:rPr>
        <w:t xml:space="preserve"> Федеральной налоговой службе по Чеченской Республике совместно с Министерством государственного имущества ЧР, Министерства внутренних дел ЧР и другими заинтересованными провести полную инвентаризацию прав собственности на недвижимое имущество, транспортные средства и земельные участки для определения  налоговой базы  по имущественным налогам.  </w:t>
      </w:r>
    </w:p>
    <w:p w:rsidR="008D5D14" w:rsidRPr="00C56334" w:rsidRDefault="008D5D14" w:rsidP="00C56334">
      <w:pPr>
        <w:spacing w:after="0" w:line="360" w:lineRule="auto"/>
        <w:contextualSpacing/>
        <w:jc w:val="both"/>
        <w:rPr>
          <w:rFonts w:ascii="Times New Roman" w:hAnsi="Times New Roman" w:cs="Times New Roman"/>
          <w:sz w:val="28"/>
          <w:szCs w:val="28"/>
        </w:rPr>
      </w:pPr>
      <w:r w:rsidRPr="00C56334">
        <w:rPr>
          <w:rFonts w:ascii="Times New Roman" w:hAnsi="Times New Roman" w:cs="Times New Roman"/>
          <w:sz w:val="28"/>
          <w:szCs w:val="28"/>
        </w:rPr>
        <w:lastRenderedPageBreak/>
        <w:tab/>
        <w:t xml:space="preserve">Обоснование приоритетности принятия сформулированных выше рекомендаций развития налогового потенциала Чеченской республики в рассматриваемый среднесрочный период осуществлено на основе применения метода анализа иерархий (МАИ). Для удобства расчетов применен </w:t>
      </w:r>
      <w:r w:rsidRPr="00C56334">
        <w:rPr>
          <w:rFonts w:ascii="Times New Roman" w:hAnsi="Times New Roman"/>
          <w:sz w:val="28"/>
          <w:szCs w:val="28"/>
        </w:rPr>
        <w:t xml:space="preserve">программный продукт </w:t>
      </w:r>
      <w:r w:rsidRPr="00C56334">
        <w:rPr>
          <w:rFonts w:ascii="Times New Roman" w:hAnsi="Times New Roman"/>
          <w:sz w:val="28"/>
          <w:szCs w:val="28"/>
          <w:lang w:val="en-US"/>
        </w:rPr>
        <w:t>MPRIORITY</w:t>
      </w:r>
      <w:r w:rsidRPr="00C56334">
        <w:rPr>
          <w:rFonts w:ascii="Times New Roman" w:hAnsi="Times New Roman"/>
          <w:sz w:val="28"/>
          <w:szCs w:val="28"/>
        </w:rPr>
        <w:t xml:space="preserve"> 1.0.</w:t>
      </w:r>
      <w:r w:rsidRPr="00C56334">
        <w:rPr>
          <w:rStyle w:val="af0"/>
          <w:rFonts w:ascii="Times New Roman" w:hAnsi="Times New Roman"/>
          <w:sz w:val="28"/>
          <w:szCs w:val="28"/>
        </w:rPr>
        <w:footnoteReference w:id="2"/>
      </w:r>
      <w:r w:rsidRPr="00C56334">
        <w:rPr>
          <w:rFonts w:ascii="Times New Roman" w:hAnsi="Times New Roman"/>
          <w:sz w:val="28"/>
          <w:szCs w:val="28"/>
        </w:rPr>
        <w:t xml:space="preserve"> Диалоговая программная система "MPRIORITY 1.0"  (MY PRIORITY) предназначена для поддержки принятия  решений в различных сферах человеческой деятельности.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sz w:val="28"/>
          <w:szCs w:val="28"/>
        </w:rPr>
        <w:tab/>
        <w:t xml:space="preserve">Сформированная нами иерархия, обеспечивающая развитие налогового потенциала Чеченской республики, представлена на рис. 5.  </w:t>
      </w:r>
    </w:p>
    <w:p w:rsidR="008D5D14" w:rsidRPr="00C56334" w:rsidRDefault="008D5D14" w:rsidP="00C56334">
      <w:pPr>
        <w:spacing w:after="0" w:line="240" w:lineRule="auto"/>
        <w:jc w:val="center"/>
        <w:rPr>
          <w:rFonts w:ascii="Times New Roman" w:hAnsi="Times New Roman" w:cs="Times New Roman"/>
          <w:sz w:val="28"/>
          <w:szCs w:val="28"/>
        </w:rPr>
      </w:pPr>
      <w:r>
        <w:rPr>
          <w:rFonts w:ascii="Times New Roman" w:hAnsi="Times New Roman" w:cs="Times New Roman"/>
          <w:noProof/>
          <w:sz w:val="24"/>
          <w:lang w:eastAsia="ru-RU"/>
        </w:rPr>
        <w:drawing>
          <wp:inline distT="0" distB="0" distL="0" distR="0" wp14:anchorId="473965D8" wp14:editId="0004DAC7">
            <wp:extent cx="5931462" cy="1755972"/>
            <wp:effectExtent l="19050" t="19050" r="12700" b="1587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ровни.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0425" cy="1758625"/>
                    </a:xfrm>
                    <a:prstGeom prst="rect">
                      <a:avLst/>
                    </a:prstGeom>
                    <a:ln>
                      <a:solidFill>
                        <a:schemeClr val="tx1"/>
                      </a:solidFill>
                    </a:ln>
                  </pic:spPr>
                </pic:pic>
              </a:graphicData>
            </a:graphic>
          </wp:inline>
        </w:drawing>
      </w:r>
      <w:r w:rsidRPr="00C56334">
        <w:rPr>
          <w:rFonts w:ascii="Times New Roman" w:hAnsi="Times New Roman" w:cs="Times New Roman"/>
          <w:b/>
          <w:sz w:val="28"/>
          <w:szCs w:val="28"/>
        </w:rPr>
        <w:t>Рис.3 Иерархия обеспечения развития налогового потенциала ЧР в среднесрочной перспективе</w:t>
      </w:r>
    </w:p>
    <w:p w:rsidR="00C56334" w:rsidRDefault="00C56334" w:rsidP="00C56334">
      <w:pPr>
        <w:spacing w:after="0" w:line="360" w:lineRule="auto"/>
        <w:jc w:val="both"/>
        <w:rPr>
          <w:rFonts w:ascii="Times New Roman" w:hAnsi="Times New Roman" w:cs="Times New Roman"/>
          <w:sz w:val="28"/>
          <w:szCs w:val="28"/>
        </w:rPr>
      </w:pP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Сформулированные ранее рекомендации по развитию налогового потенциала Чеченской республики в среднесрочной перспективе имеют определенные приоритеты.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Расчет попарных сравнений налоговых баз по основным видам налогов относительно налогового потенциала Чеченской республики показал (см. Приложение 5): </w:t>
      </w:r>
    </w:p>
    <w:p w:rsidR="008D5D14" w:rsidRPr="00C56334" w:rsidRDefault="008D5D14" w:rsidP="00C56334">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приоритет налоговой базы по налогу на прибыль составляет 0,46, </w:t>
      </w:r>
    </w:p>
    <w:p w:rsidR="008D5D14" w:rsidRPr="00C56334" w:rsidRDefault="008D5D14" w:rsidP="00C56334">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приоритет налоговой базы по налогам на доходы физических лиц составляет 0,26, </w:t>
      </w:r>
    </w:p>
    <w:p w:rsidR="008D5D14" w:rsidRPr="00C56334" w:rsidRDefault="008D5D14" w:rsidP="00C56334">
      <w:pPr>
        <w:pStyle w:val="aa"/>
        <w:numPr>
          <w:ilvl w:val="0"/>
          <w:numId w:val="17"/>
        </w:num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приоритеты налоговых баз по налогам на товары (работы, услуги), реализуемые на территории Российской Федерации и налогам на имущество организаций и физических лиц составляют около 0,14.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lastRenderedPageBreak/>
        <w:tab/>
        <w:t>Расчет попарных сравнений рекомендаций (альтернатив) по развитию налоговых баз по основным налогам, представленный в Приложении 6, позволил осуществить оценку значимости (приоритета) каждой конкретной рекомендации.</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Итоговая оценка приоритета каждой рекомендации по развитию налогового потенциала Чеченской республики в среднесрочной перспективе, проведенная на основе программного продукта </w:t>
      </w:r>
      <w:r w:rsidRPr="00C56334">
        <w:rPr>
          <w:rFonts w:ascii="Times New Roman" w:hAnsi="Times New Roman"/>
          <w:sz w:val="28"/>
          <w:szCs w:val="28"/>
        </w:rPr>
        <w:t xml:space="preserve">"MPRIORITY 1.0", позволяющая применить метод анализа иерархий, </w:t>
      </w:r>
      <w:r w:rsidRPr="00C56334">
        <w:rPr>
          <w:rFonts w:ascii="Times New Roman" w:hAnsi="Times New Roman" w:cs="Times New Roman"/>
          <w:sz w:val="28"/>
          <w:szCs w:val="28"/>
        </w:rPr>
        <w:t>представлена на рис.6.</w:t>
      </w:r>
    </w:p>
    <w:p w:rsidR="008D5D14" w:rsidRDefault="008D5D14" w:rsidP="008D5D14">
      <w:pPr>
        <w:rPr>
          <w:rFonts w:ascii="Times New Roman" w:hAnsi="Times New Roman" w:cs="Times New Roman"/>
          <w:sz w:val="24"/>
        </w:rPr>
      </w:pPr>
      <w:r>
        <w:rPr>
          <w:rFonts w:ascii="Times New Roman" w:hAnsi="Times New Roman" w:cs="Times New Roman"/>
          <w:noProof/>
          <w:sz w:val="24"/>
          <w:lang w:eastAsia="ru-RU"/>
        </w:rPr>
        <w:drawing>
          <wp:inline distT="0" distB="0" distL="0" distR="0" wp14:anchorId="5549A676" wp14:editId="0583D01E">
            <wp:extent cx="5918054" cy="2151219"/>
            <wp:effectExtent l="19050" t="19050" r="26035" b="20955"/>
            <wp:docPr id="40" name="Рисунок 40" descr="C:\Users\USER\Desktop\МАИТАБЛИЦЫПАПА\Итоговрезульт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МАИТАБЛИЦЫПАПА\Итоговрезультат.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0425" cy="2159351"/>
                    </a:xfrm>
                    <a:prstGeom prst="rect">
                      <a:avLst/>
                    </a:prstGeom>
                    <a:noFill/>
                    <a:ln>
                      <a:solidFill>
                        <a:schemeClr val="tx1"/>
                      </a:solidFill>
                    </a:ln>
                  </pic:spPr>
                </pic:pic>
              </a:graphicData>
            </a:graphic>
          </wp:inline>
        </w:drawing>
      </w:r>
    </w:p>
    <w:p w:rsidR="008D5D14" w:rsidRDefault="008D5D14" w:rsidP="00C56334">
      <w:pPr>
        <w:spacing w:after="0" w:line="240" w:lineRule="auto"/>
        <w:jc w:val="center"/>
        <w:rPr>
          <w:rFonts w:ascii="Times New Roman" w:hAnsi="Times New Roman" w:cs="Times New Roman"/>
          <w:b/>
          <w:sz w:val="28"/>
          <w:szCs w:val="28"/>
        </w:rPr>
      </w:pPr>
      <w:r w:rsidRPr="00C56334">
        <w:rPr>
          <w:rFonts w:ascii="Times New Roman" w:hAnsi="Times New Roman" w:cs="Times New Roman"/>
          <w:b/>
          <w:sz w:val="28"/>
          <w:szCs w:val="28"/>
        </w:rPr>
        <w:t>Рис. 6. Оценка значимости (приоритеты) рекомендаций (альтернатив) обеспечивающих развитие налогового потенциала ЧР на среднесрочный период</w:t>
      </w:r>
    </w:p>
    <w:p w:rsidR="00C56334" w:rsidRPr="00C56334" w:rsidRDefault="00C56334" w:rsidP="00C56334">
      <w:pPr>
        <w:spacing w:after="0" w:line="240" w:lineRule="auto"/>
        <w:jc w:val="center"/>
        <w:rPr>
          <w:rFonts w:ascii="Times New Roman" w:hAnsi="Times New Roman" w:cs="Times New Roman"/>
          <w:b/>
          <w:sz w:val="28"/>
          <w:szCs w:val="28"/>
        </w:rPr>
      </w:pPr>
    </w:p>
    <w:p w:rsidR="008D5D14" w:rsidRPr="00C56334" w:rsidRDefault="009E2B98" w:rsidP="00C56334">
      <w:pPr>
        <w:spacing w:after="0" w:line="360" w:lineRule="auto"/>
        <w:jc w:val="both"/>
        <w:rPr>
          <w:rFonts w:ascii="Times New Roman" w:hAnsi="Times New Roman" w:cs="Times New Roman"/>
          <w:sz w:val="28"/>
          <w:szCs w:val="28"/>
        </w:rPr>
      </w:pPr>
      <w:r>
        <w:rPr>
          <w:rFonts w:ascii="Times New Roman" w:hAnsi="Times New Roman" w:cs="Times New Roman"/>
          <w:b/>
          <w:sz w:val="28"/>
          <w:szCs w:val="28"/>
        </w:rPr>
        <w:tab/>
      </w:r>
      <w:r w:rsidR="008D5D14" w:rsidRPr="00C56334">
        <w:rPr>
          <w:rFonts w:ascii="Times New Roman" w:hAnsi="Times New Roman" w:cs="Times New Roman"/>
          <w:b/>
          <w:sz w:val="28"/>
          <w:szCs w:val="28"/>
        </w:rPr>
        <w:t>Вывод</w:t>
      </w:r>
      <w:r w:rsidR="008D5D14" w:rsidRPr="00C56334">
        <w:rPr>
          <w:rFonts w:ascii="Times New Roman" w:hAnsi="Times New Roman" w:cs="Times New Roman"/>
          <w:sz w:val="28"/>
          <w:szCs w:val="28"/>
        </w:rPr>
        <w:t>: По приоритетности рекомендации (альтернативы),  сформулированные в отношении налоговых баз четырех основных видов налогов (критериев),  должны реализовываться по следующей последовательности:</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1. Обоснование выбора видов производств по каждому из семи кластеров региональной экономики (приоритет составляет около 0,21);</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2. Коррекция принятых республиканских целевых программ (приоритет – около 0,16);</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 xml:space="preserve">3. Выработка предложений по коррекции федеральной целевой программы (приоритет – около 0,14); </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4. Рассчитать нижние пороги уровня оплаты труда на среднесрочный период (приоритет – около 0,13);</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lastRenderedPageBreak/>
        <w:t>5. Разработка программы вовлечения незанятого населения к надомному труду (приоритет – свыше 0,10);</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6. Разработка предложений по снижению уровня кредиторской и дебиторской задолженности предприятий ЧР (приоритет – около 0,10);</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7. Проведение инвентаризации на недвижимое имущество организаций и физических лиц (приоритет – около 0,06);</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8. Проведение инвентаризации транспортных средств организаций и физических лиц (приоритет – около 0,06);</w:t>
      </w:r>
    </w:p>
    <w:p w:rsidR="008D5D14" w:rsidRPr="00C56334" w:rsidRDefault="008D5D14" w:rsidP="00C56334">
      <w:pPr>
        <w:spacing w:after="0" w:line="360" w:lineRule="auto"/>
        <w:ind w:left="360"/>
        <w:jc w:val="both"/>
        <w:rPr>
          <w:rFonts w:ascii="Times New Roman" w:hAnsi="Times New Roman" w:cs="Times New Roman"/>
          <w:sz w:val="28"/>
          <w:szCs w:val="28"/>
        </w:rPr>
      </w:pPr>
      <w:r w:rsidRPr="00C56334">
        <w:rPr>
          <w:rFonts w:ascii="Times New Roman" w:hAnsi="Times New Roman" w:cs="Times New Roman"/>
          <w:sz w:val="28"/>
          <w:szCs w:val="28"/>
        </w:rPr>
        <w:t xml:space="preserve">9. Проведение инвентаризации земельных участков выделенных организациям и физическим лицам (приоритет – около 0,06). </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 xml:space="preserve"> </w:t>
      </w:r>
      <w:r w:rsidRPr="00C56334">
        <w:rPr>
          <w:rFonts w:ascii="Times New Roman" w:hAnsi="Times New Roman" w:cs="Times New Roman"/>
          <w:sz w:val="28"/>
          <w:szCs w:val="28"/>
        </w:rPr>
        <w:tab/>
        <w:t xml:space="preserve">Для обоснования финансовых решений (источников, форм и объемов финансирования) по конкретным инвестиционным программам и проектам, обеспечивающие развитие РНП, требуется исчерпывающая информация об экономической эффективности, социальной значимости и экологической безопасности объектов капитальных вложений (инвестиций) на территории Чеченской </w:t>
      </w:r>
      <w:r w:rsidR="008F2E49">
        <w:rPr>
          <w:rFonts w:ascii="Times New Roman" w:hAnsi="Times New Roman" w:cs="Times New Roman"/>
          <w:sz w:val="28"/>
          <w:szCs w:val="28"/>
        </w:rPr>
        <w:t>Р</w:t>
      </w:r>
      <w:r w:rsidRPr="00C56334">
        <w:rPr>
          <w:rFonts w:ascii="Times New Roman" w:hAnsi="Times New Roman" w:cs="Times New Roman"/>
          <w:sz w:val="28"/>
          <w:szCs w:val="28"/>
        </w:rPr>
        <w:t>еспублики.</w:t>
      </w:r>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Выработка сбалансированного комплекса мер по развитию налогового потенциала Чеченской республики на среднесрочный период должна основываться на использовании возможностей регионального </w:t>
      </w:r>
      <w:proofErr w:type="spellStart"/>
      <w:r w:rsidRPr="00C56334">
        <w:rPr>
          <w:rFonts w:ascii="Times New Roman" w:hAnsi="Times New Roman" w:cs="Times New Roman"/>
          <w:sz w:val="28"/>
          <w:szCs w:val="28"/>
        </w:rPr>
        <w:t>форсайта</w:t>
      </w:r>
      <w:proofErr w:type="spellEnd"/>
      <w:r w:rsidRPr="00C56334">
        <w:rPr>
          <w:rFonts w:ascii="Times New Roman" w:hAnsi="Times New Roman" w:cs="Times New Roman"/>
          <w:sz w:val="28"/>
          <w:szCs w:val="28"/>
        </w:rPr>
        <w:t>.</w:t>
      </w:r>
    </w:p>
    <w:p w:rsidR="00EA462B"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tab/>
        <w:t xml:space="preserve">Применение регионального </w:t>
      </w:r>
      <w:proofErr w:type="spellStart"/>
      <w:r w:rsidRPr="00C56334">
        <w:rPr>
          <w:rFonts w:ascii="Times New Roman" w:hAnsi="Times New Roman" w:cs="Times New Roman"/>
          <w:sz w:val="28"/>
          <w:szCs w:val="28"/>
        </w:rPr>
        <w:t>форсайта</w:t>
      </w:r>
      <w:proofErr w:type="spellEnd"/>
      <w:r w:rsidRPr="00C56334">
        <w:rPr>
          <w:rFonts w:ascii="Times New Roman" w:hAnsi="Times New Roman" w:cs="Times New Roman"/>
          <w:sz w:val="28"/>
          <w:szCs w:val="28"/>
        </w:rPr>
        <w:t xml:space="preserve"> на основе использования метода построения региональной «дорожной карты» требует не только полной (исчерпывающей) информации, а и создание специальной межведомственной комиссии при правительстве Чеченской республики с привлечением специалистов и экспертов по </w:t>
      </w:r>
      <w:proofErr w:type="gramStart"/>
      <w:r w:rsidRPr="00C56334">
        <w:rPr>
          <w:rFonts w:ascii="Times New Roman" w:hAnsi="Times New Roman" w:cs="Times New Roman"/>
          <w:sz w:val="28"/>
          <w:szCs w:val="28"/>
        </w:rPr>
        <w:t>региональному</w:t>
      </w:r>
      <w:proofErr w:type="gramEnd"/>
      <w:r w:rsidRPr="00C56334">
        <w:rPr>
          <w:rFonts w:ascii="Times New Roman" w:hAnsi="Times New Roman" w:cs="Times New Roman"/>
          <w:sz w:val="28"/>
          <w:szCs w:val="28"/>
        </w:rPr>
        <w:t xml:space="preserve"> </w:t>
      </w:r>
      <w:proofErr w:type="spellStart"/>
      <w:r w:rsidRPr="00C56334">
        <w:rPr>
          <w:rFonts w:ascii="Times New Roman" w:hAnsi="Times New Roman" w:cs="Times New Roman"/>
          <w:sz w:val="28"/>
          <w:szCs w:val="28"/>
        </w:rPr>
        <w:t>форсайту</w:t>
      </w:r>
      <w:proofErr w:type="spellEnd"/>
      <w:r w:rsidRPr="00C56334">
        <w:rPr>
          <w:rFonts w:ascii="Times New Roman" w:hAnsi="Times New Roman" w:cs="Times New Roman"/>
          <w:sz w:val="28"/>
          <w:szCs w:val="28"/>
        </w:rPr>
        <w:t>.</w:t>
      </w:r>
    </w:p>
    <w:p w:rsidR="00EC4DBC" w:rsidRDefault="00EC4DBC" w:rsidP="00C56334">
      <w:pPr>
        <w:spacing w:after="0" w:line="360" w:lineRule="auto"/>
        <w:jc w:val="both"/>
        <w:rPr>
          <w:rFonts w:ascii="Times New Roman" w:hAnsi="Times New Roman" w:cs="Times New Roman"/>
          <w:b/>
          <w:sz w:val="28"/>
          <w:szCs w:val="28"/>
        </w:rPr>
      </w:pPr>
    </w:p>
    <w:p w:rsidR="00EC4DBC" w:rsidRDefault="00EC4DBC" w:rsidP="00C56334">
      <w:pPr>
        <w:spacing w:after="0" w:line="360" w:lineRule="auto"/>
        <w:jc w:val="both"/>
        <w:rPr>
          <w:rFonts w:ascii="Times New Roman" w:hAnsi="Times New Roman" w:cs="Times New Roman"/>
          <w:b/>
          <w:sz w:val="28"/>
          <w:szCs w:val="28"/>
        </w:rPr>
      </w:pPr>
    </w:p>
    <w:p w:rsidR="00EC4DBC" w:rsidRPr="00EC4DBC" w:rsidRDefault="00EA462B" w:rsidP="00EC4DBC">
      <w:pPr>
        <w:spacing w:after="0" w:line="240" w:lineRule="auto"/>
        <w:jc w:val="both"/>
        <w:rPr>
          <w:rFonts w:ascii="Times New Roman" w:hAnsi="Times New Roman" w:cs="Times New Roman"/>
          <w:sz w:val="28"/>
          <w:szCs w:val="28"/>
        </w:rPr>
      </w:pPr>
      <w:bookmarkStart w:id="0" w:name="_GoBack"/>
      <w:bookmarkEnd w:id="0"/>
      <w:r w:rsidRPr="00EC4DBC">
        <w:rPr>
          <w:rFonts w:ascii="Times New Roman" w:hAnsi="Times New Roman" w:cs="Times New Roman"/>
          <w:sz w:val="28"/>
          <w:szCs w:val="28"/>
        </w:rPr>
        <w:t xml:space="preserve">Министр финансов </w:t>
      </w:r>
    </w:p>
    <w:p w:rsidR="00EC4DBC" w:rsidRPr="00EC4DBC" w:rsidRDefault="00EA462B" w:rsidP="00EC4DBC">
      <w:pPr>
        <w:spacing w:after="0" w:line="240" w:lineRule="auto"/>
        <w:jc w:val="both"/>
        <w:rPr>
          <w:rFonts w:ascii="Times New Roman" w:hAnsi="Times New Roman" w:cs="Times New Roman"/>
          <w:sz w:val="28"/>
          <w:szCs w:val="28"/>
        </w:rPr>
      </w:pPr>
      <w:r w:rsidRPr="00EC4DBC">
        <w:rPr>
          <w:rFonts w:ascii="Times New Roman" w:hAnsi="Times New Roman" w:cs="Times New Roman"/>
          <w:sz w:val="28"/>
          <w:szCs w:val="28"/>
        </w:rPr>
        <w:t xml:space="preserve">Чеченской Республики </w:t>
      </w:r>
    </w:p>
    <w:p w:rsidR="00EA462B" w:rsidRPr="00EC4DBC" w:rsidRDefault="00EA462B" w:rsidP="00EC4DBC">
      <w:pPr>
        <w:spacing w:after="0" w:line="240" w:lineRule="auto"/>
        <w:jc w:val="both"/>
        <w:rPr>
          <w:rFonts w:ascii="Times New Roman" w:hAnsi="Times New Roman" w:cs="Times New Roman"/>
          <w:sz w:val="28"/>
          <w:szCs w:val="28"/>
        </w:rPr>
      </w:pPr>
      <w:r w:rsidRPr="00EC4DBC">
        <w:rPr>
          <w:rFonts w:ascii="Times New Roman" w:hAnsi="Times New Roman" w:cs="Times New Roman"/>
          <w:sz w:val="28"/>
          <w:szCs w:val="28"/>
        </w:rPr>
        <w:t xml:space="preserve">У.А-А. </w:t>
      </w:r>
      <w:proofErr w:type="spellStart"/>
      <w:r w:rsidRPr="00EC4DBC">
        <w:rPr>
          <w:rFonts w:ascii="Times New Roman" w:hAnsi="Times New Roman" w:cs="Times New Roman"/>
          <w:sz w:val="28"/>
          <w:szCs w:val="28"/>
        </w:rPr>
        <w:t>Рассуханов</w:t>
      </w:r>
      <w:proofErr w:type="spellEnd"/>
    </w:p>
    <w:p w:rsidR="008D5D14" w:rsidRPr="00C56334" w:rsidRDefault="008D5D14" w:rsidP="00C56334">
      <w:pPr>
        <w:spacing w:after="0" w:line="360" w:lineRule="auto"/>
        <w:jc w:val="both"/>
        <w:rPr>
          <w:rFonts w:ascii="Times New Roman" w:hAnsi="Times New Roman" w:cs="Times New Roman"/>
          <w:sz w:val="28"/>
          <w:szCs w:val="28"/>
        </w:rPr>
      </w:pPr>
      <w:r w:rsidRPr="00C56334">
        <w:rPr>
          <w:rFonts w:ascii="Times New Roman" w:hAnsi="Times New Roman" w:cs="Times New Roman"/>
          <w:sz w:val="28"/>
          <w:szCs w:val="28"/>
        </w:rPr>
        <w:br w:type="page"/>
      </w:r>
    </w:p>
    <w:p w:rsidR="008D5D14" w:rsidRPr="00D93B97" w:rsidRDefault="008D5D14" w:rsidP="008D5D14">
      <w:pPr>
        <w:jc w:val="right"/>
        <w:rPr>
          <w:rFonts w:ascii="Times New Roman" w:hAnsi="Times New Roman" w:cs="Times New Roman"/>
          <w:b/>
          <w:sz w:val="24"/>
          <w:szCs w:val="24"/>
        </w:rPr>
      </w:pPr>
      <w:r w:rsidRPr="00D93B97">
        <w:rPr>
          <w:rFonts w:ascii="Times New Roman" w:hAnsi="Times New Roman" w:cs="Times New Roman"/>
          <w:b/>
          <w:sz w:val="24"/>
          <w:szCs w:val="24"/>
        </w:rPr>
        <w:lastRenderedPageBreak/>
        <w:t>Приложение 1</w:t>
      </w:r>
    </w:p>
    <w:p w:rsidR="008D5D14" w:rsidRPr="00D93B97" w:rsidRDefault="008D5D14" w:rsidP="008D5D14">
      <w:pPr>
        <w:jc w:val="center"/>
        <w:rPr>
          <w:rFonts w:ascii="Times New Roman" w:hAnsi="Times New Roman" w:cs="Times New Roman"/>
          <w:b/>
          <w:sz w:val="24"/>
          <w:szCs w:val="24"/>
        </w:rPr>
      </w:pPr>
      <w:r w:rsidRPr="00D93B97">
        <w:rPr>
          <w:rFonts w:ascii="Times New Roman" w:hAnsi="Times New Roman" w:cs="Times New Roman"/>
          <w:b/>
          <w:sz w:val="24"/>
          <w:szCs w:val="24"/>
        </w:rPr>
        <w:t>Налоговые и неналоговые поступления в консолидированный бюджет ЧР</w:t>
      </w:r>
    </w:p>
    <w:tbl>
      <w:tblPr>
        <w:tblStyle w:val="a9"/>
        <w:tblW w:w="0" w:type="auto"/>
        <w:tblLayout w:type="fixed"/>
        <w:tblLook w:val="04A0" w:firstRow="1" w:lastRow="0" w:firstColumn="1" w:lastColumn="0" w:noHBand="0" w:noVBand="1"/>
      </w:tblPr>
      <w:tblGrid>
        <w:gridCol w:w="2498"/>
        <w:gridCol w:w="719"/>
        <w:gridCol w:w="719"/>
        <w:gridCol w:w="823"/>
        <w:gridCol w:w="817"/>
        <w:gridCol w:w="719"/>
        <w:gridCol w:w="759"/>
        <w:gridCol w:w="851"/>
        <w:gridCol w:w="850"/>
        <w:gridCol w:w="816"/>
      </w:tblGrid>
      <w:tr w:rsidR="008D5D14" w:rsidRPr="00FB661F" w:rsidTr="008D5D14">
        <w:tc>
          <w:tcPr>
            <w:tcW w:w="2498"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Показатели</w:t>
            </w:r>
          </w:p>
        </w:tc>
        <w:tc>
          <w:tcPr>
            <w:tcW w:w="719"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2004</w:t>
            </w:r>
          </w:p>
        </w:tc>
        <w:tc>
          <w:tcPr>
            <w:tcW w:w="719"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2005</w:t>
            </w:r>
          </w:p>
        </w:tc>
        <w:tc>
          <w:tcPr>
            <w:tcW w:w="823"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2006</w:t>
            </w:r>
          </w:p>
        </w:tc>
        <w:tc>
          <w:tcPr>
            <w:tcW w:w="817"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2007</w:t>
            </w:r>
          </w:p>
        </w:tc>
        <w:tc>
          <w:tcPr>
            <w:tcW w:w="719"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2008</w:t>
            </w:r>
          </w:p>
        </w:tc>
        <w:tc>
          <w:tcPr>
            <w:tcW w:w="759"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2009</w:t>
            </w:r>
          </w:p>
        </w:tc>
        <w:tc>
          <w:tcPr>
            <w:tcW w:w="851"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2010</w:t>
            </w:r>
          </w:p>
        </w:tc>
        <w:tc>
          <w:tcPr>
            <w:tcW w:w="850"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2011</w:t>
            </w:r>
          </w:p>
        </w:tc>
        <w:tc>
          <w:tcPr>
            <w:tcW w:w="816"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2012</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b/>
                <w:sz w:val="18"/>
              </w:rPr>
              <w:t>1. Налог на прибыль, доходы,</w:t>
            </w:r>
            <w:r w:rsidRPr="00FB661F">
              <w:rPr>
                <w:rFonts w:ascii="Times New Roman" w:hAnsi="Times New Roman" w:cs="Times New Roman"/>
                <w:sz w:val="18"/>
              </w:rPr>
              <w:t xml:space="preserve">         </w:t>
            </w:r>
          </w:p>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1209,9</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1746,2</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2921,1</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3909,0</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4867,3</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5359,0</w:t>
            </w:r>
          </w:p>
        </w:tc>
        <w:tc>
          <w:tcPr>
            <w:tcW w:w="851" w:type="dxa"/>
          </w:tcPr>
          <w:p w:rsidR="008D5D14" w:rsidRPr="00FB661F" w:rsidRDefault="008D5D14" w:rsidP="008D5D14">
            <w:pPr>
              <w:jc w:val="center"/>
              <w:rPr>
                <w:rFonts w:ascii="Times New Roman" w:hAnsi="Times New Roman" w:cs="Times New Roman"/>
                <w:b/>
                <w:sz w:val="18"/>
              </w:rPr>
            </w:pPr>
            <w:r w:rsidRPr="00FB661F">
              <w:rPr>
                <w:rFonts w:ascii="Times New Roman" w:hAnsi="Times New Roman" w:cs="Times New Roman"/>
                <w:b/>
                <w:sz w:val="18"/>
              </w:rPr>
              <w:t>5689,7</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6875,8</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7793,7</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 Налог на прибыль организаций,    </w:t>
            </w:r>
          </w:p>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млн. руб. </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214,4</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349,9</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697,5</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746,5</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870,7</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728,1</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847,2</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1546,0</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665,6</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 Налог на доходы физ. лиц, </w:t>
            </w:r>
          </w:p>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995,5</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1396,3</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2229,6</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3162,5</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4056,6</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4630,9</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4842,5</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5329,8</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7128,1</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 xml:space="preserve">3. Налоги на товары (работы и услуги), реализуемые на территории РФ (акцизы), </w:t>
            </w:r>
          </w:p>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115,4</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131,7</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146,8</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148,0</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159,6</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277,5</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2365,9</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2347,3</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2639,1</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 Налоги на совокупные доходы,     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25,9</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25,2</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33,1</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51,2</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66,9</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73,9</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90,5</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101,9</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129,1</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 xml:space="preserve">6. Налоги на имущество, </w:t>
            </w:r>
          </w:p>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59,8</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65,5</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87,3</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128,5</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186,6</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218,8</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426,8</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459,0</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677,0</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 xml:space="preserve">7. Налоги, сборы и регулируемые платежи за пользование природными ресурсами,  </w:t>
            </w:r>
          </w:p>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288,6</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193,1</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240,2</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251,3</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332,5</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158,7</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1,8</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0,3</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0,5</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 xml:space="preserve">8. Государственная пошлина, </w:t>
            </w:r>
          </w:p>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5,4</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12,5</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6,6</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19,2</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27,7</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32,1</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88,5</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117,7</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20,8</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 xml:space="preserve">9. Задолженность и пересчеты на отмененные налоги, сборы и иным обязательным платежам,    </w:t>
            </w:r>
          </w:p>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10,9</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1,8</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17,1</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7,5</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6,3</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1,7</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2,4</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2,5</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1,0</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Итого налоговые доходы,</w:t>
            </w:r>
          </w:p>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1707,1</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2168,5</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3476,7</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4513,0</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5647,4</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6122,6</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8661,4</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9920,7</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1126,2</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11. Доходы от использования имущества, </w:t>
            </w:r>
            <w:proofErr w:type="gramStart"/>
            <w:r w:rsidRPr="00FB661F">
              <w:rPr>
                <w:rFonts w:ascii="Times New Roman" w:hAnsi="Times New Roman" w:cs="Times New Roman"/>
                <w:sz w:val="18"/>
              </w:rPr>
              <w:t>находящееся</w:t>
            </w:r>
            <w:proofErr w:type="gramEnd"/>
            <w:r w:rsidRPr="00FB661F">
              <w:rPr>
                <w:rFonts w:ascii="Times New Roman" w:hAnsi="Times New Roman" w:cs="Times New Roman"/>
                <w:sz w:val="18"/>
              </w:rPr>
              <w:t xml:space="preserve"> в государственной и муниципальной собственности,               млн. руб.</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5,8</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5,9</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6,4</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44,0</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324,4</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80,6</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136,2</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98,1</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165,4</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12. Платежи при пользовании природными ресурсами, </w:t>
            </w:r>
          </w:p>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0</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0,9</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1,6</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4,6</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5,2</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6,1</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7,4</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10,2</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13,0</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13. Доходы за оказание платных услуг и компенсация затрат государства, млн. руб.</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64,6</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2,5</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41,9</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109,1</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78,4</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36,9</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55,2</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284,1</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154,6</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14. Доходы от продажи материальных и нематериальных активов, </w:t>
            </w:r>
          </w:p>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0,3</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20,8</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3,4</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2,9</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15,0</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27,2</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27,1</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12,7</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9,2</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16. Штрафы, санкции, возмещение ущерба, млн. руб.</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3,1</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3,8</w:t>
            </w:r>
          </w:p>
        </w:tc>
        <w:tc>
          <w:tcPr>
            <w:tcW w:w="823"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5,2</w:t>
            </w:r>
          </w:p>
        </w:tc>
        <w:tc>
          <w:tcPr>
            <w:tcW w:w="817"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21,1</w:t>
            </w:r>
          </w:p>
        </w:tc>
        <w:tc>
          <w:tcPr>
            <w:tcW w:w="71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21,1</w:t>
            </w:r>
          </w:p>
        </w:tc>
        <w:tc>
          <w:tcPr>
            <w:tcW w:w="759"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22,4</w:t>
            </w:r>
          </w:p>
        </w:tc>
        <w:tc>
          <w:tcPr>
            <w:tcW w:w="851"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28,3</w:t>
            </w:r>
          </w:p>
        </w:tc>
        <w:tc>
          <w:tcPr>
            <w:tcW w:w="850"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36,9</w:t>
            </w:r>
          </w:p>
        </w:tc>
        <w:tc>
          <w:tcPr>
            <w:tcW w:w="816"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45,2</w:t>
            </w:r>
          </w:p>
        </w:tc>
      </w:tr>
      <w:tr w:rsidR="008D5D14" w:rsidRPr="00FB661F" w:rsidTr="008D5D14">
        <w:tc>
          <w:tcPr>
            <w:tcW w:w="2498" w:type="dxa"/>
          </w:tcPr>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 xml:space="preserve">Итого неналоговые доходы, </w:t>
            </w:r>
          </w:p>
          <w:p w:rsidR="008D5D14" w:rsidRPr="00FB661F" w:rsidRDefault="008D5D14" w:rsidP="008D5D14">
            <w:pPr>
              <w:jc w:val="both"/>
              <w:rPr>
                <w:rFonts w:ascii="Times New Roman" w:hAnsi="Times New Roman" w:cs="Times New Roman"/>
                <w:sz w:val="18"/>
              </w:rPr>
            </w:pPr>
            <w:r w:rsidRPr="00FB661F">
              <w:rPr>
                <w:rFonts w:ascii="Times New Roman" w:hAnsi="Times New Roman" w:cs="Times New Roman"/>
                <w:sz w:val="18"/>
              </w:rPr>
              <w:t>млн. руб.</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73,8</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33,9</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59,3</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181,7</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444,1</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173,2</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254,2</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433,4</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387,4</w:t>
            </w:r>
          </w:p>
        </w:tc>
      </w:tr>
      <w:tr w:rsidR="008D5D14" w:rsidRPr="00FB661F" w:rsidTr="008D5D14">
        <w:tc>
          <w:tcPr>
            <w:tcW w:w="2498"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 xml:space="preserve">Налоговые и неналоговые доходы,           млн. руб. </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1781,0</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2202,4</w:t>
            </w:r>
          </w:p>
        </w:tc>
        <w:tc>
          <w:tcPr>
            <w:tcW w:w="823"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3536,0</w:t>
            </w:r>
          </w:p>
        </w:tc>
        <w:tc>
          <w:tcPr>
            <w:tcW w:w="817"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4694,7</w:t>
            </w:r>
          </w:p>
        </w:tc>
        <w:tc>
          <w:tcPr>
            <w:tcW w:w="71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6091,5</w:t>
            </w:r>
          </w:p>
        </w:tc>
        <w:tc>
          <w:tcPr>
            <w:tcW w:w="759"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6295,3</w:t>
            </w:r>
          </w:p>
        </w:tc>
        <w:tc>
          <w:tcPr>
            <w:tcW w:w="851"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8915,6</w:t>
            </w:r>
          </w:p>
        </w:tc>
        <w:tc>
          <w:tcPr>
            <w:tcW w:w="850"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10354,1</w:t>
            </w:r>
          </w:p>
        </w:tc>
        <w:tc>
          <w:tcPr>
            <w:tcW w:w="816" w:type="dxa"/>
          </w:tcPr>
          <w:p w:rsidR="008D5D14" w:rsidRPr="00FB661F" w:rsidRDefault="008D5D14" w:rsidP="008D5D14">
            <w:pPr>
              <w:jc w:val="both"/>
              <w:rPr>
                <w:rFonts w:ascii="Times New Roman" w:hAnsi="Times New Roman" w:cs="Times New Roman"/>
                <w:b/>
                <w:sz w:val="18"/>
              </w:rPr>
            </w:pPr>
            <w:r w:rsidRPr="00FB661F">
              <w:rPr>
                <w:rFonts w:ascii="Times New Roman" w:hAnsi="Times New Roman" w:cs="Times New Roman"/>
                <w:b/>
                <w:sz w:val="18"/>
              </w:rPr>
              <w:t>11649,4</w:t>
            </w:r>
          </w:p>
        </w:tc>
      </w:tr>
    </w:tbl>
    <w:p w:rsidR="008D5D14" w:rsidRDefault="008D5D14" w:rsidP="008D5D14">
      <w:pPr>
        <w:jc w:val="both"/>
      </w:pPr>
    </w:p>
    <w:p w:rsidR="00E8425A" w:rsidRDefault="00E8425A" w:rsidP="008D5D14">
      <w:pPr>
        <w:jc w:val="both"/>
      </w:pPr>
    </w:p>
    <w:p w:rsidR="008D5D14" w:rsidRDefault="008D5D14" w:rsidP="008D5D14">
      <w:pPr>
        <w:rPr>
          <w:rFonts w:ascii="Times New Roman" w:hAnsi="Times New Roman" w:cs="Times New Roman"/>
          <w:b/>
          <w:sz w:val="24"/>
        </w:rPr>
      </w:pPr>
    </w:p>
    <w:p w:rsidR="00E8425A" w:rsidRDefault="00E8425A" w:rsidP="008D5D14">
      <w:pPr>
        <w:jc w:val="right"/>
        <w:rPr>
          <w:rFonts w:ascii="Times New Roman" w:hAnsi="Times New Roman" w:cs="Times New Roman"/>
          <w:b/>
        </w:rPr>
        <w:sectPr w:rsidR="00E8425A" w:rsidSect="006728A8">
          <w:pgSz w:w="11906" w:h="16838"/>
          <w:pgMar w:top="1134" w:right="850" w:bottom="1134" w:left="1701" w:header="708" w:footer="708" w:gutter="0"/>
          <w:cols w:space="708"/>
          <w:docGrid w:linePitch="360"/>
        </w:sectPr>
      </w:pPr>
    </w:p>
    <w:p w:rsidR="008D5D14" w:rsidRPr="00D701CD" w:rsidRDefault="008D5D14" w:rsidP="008D5D14">
      <w:pPr>
        <w:jc w:val="right"/>
        <w:rPr>
          <w:rFonts w:ascii="Times New Roman" w:hAnsi="Times New Roman" w:cs="Times New Roman"/>
          <w:b/>
        </w:rPr>
      </w:pPr>
      <w:r w:rsidRPr="00D701CD">
        <w:rPr>
          <w:rFonts w:ascii="Times New Roman" w:hAnsi="Times New Roman" w:cs="Times New Roman"/>
          <w:b/>
        </w:rPr>
        <w:lastRenderedPageBreak/>
        <w:t>Приложение 2</w:t>
      </w:r>
    </w:p>
    <w:p w:rsidR="008D5D14" w:rsidRPr="00D701CD" w:rsidRDefault="008D5D14" w:rsidP="008D5D14">
      <w:pPr>
        <w:jc w:val="center"/>
        <w:rPr>
          <w:rFonts w:ascii="Times New Roman" w:hAnsi="Times New Roman" w:cs="Times New Roman"/>
          <w:b/>
        </w:rPr>
      </w:pPr>
      <w:proofErr w:type="gramStart"/>
      <w:r w:rsidRPr="00D701CD">
        <w:rPr>
          <w:rFonts w:ascii="Times New Roman" w:hAnsi="Times New Roman" w:cs="Times New Roman"/>
          <w:b/>
        </w:rPr>
        <w:t xml:space="preserve">Инвестиции в Чеченской Республики (в соответствии с принятыми республиканскими целевыми программами) на период 2013 - 2020 гг. </w:t>
      </w:r>
      <w:proofErr w:type="gramEnd"/>
    </w:p>
    <w:tbl>
      <w:tblPr>
        <w:tblStyle w:val="a9"/>
        <w:tblW w:w="15701" w:type="dxa"/>
        <w:tblInd w:w="-318" w:type="dxa"/>
        <w:tblLayout w:type="fixed"/>
        <w:tblLook w:val="04A0" w:firstRow="1" w:lastRow="0" w:firstColumn="1" w:lastColumn="0" w:noHBand="0" w:noVBand="1"/>
      </w:tblPr>
      <w:tblGrid>
        <w:gridCol w:w="2269"/>
        <w:gridCol w:w="1169"/>
        <w:gridCol w:w="1134"/>
        <w:gridCol w:w="1134"/>
        <w:gridCol w:w="1276"/>
        <w:gridCol w:w="1134"/>
        <w:gridCol w:w="1134"/>
        <w:gridCol w:w="1134"/>
        <w:gridCol w:w="1134"/>
        <w:gridCol w:w="992"/>
        <w:gridCol w:w="992"/>
        <w:gridCol w:w="850"/>
        <w:gridCol w:w="675"/>
        <w:gridCol w:w="674"/>
      </w:tblGrid>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Наименование</w:t>
            </w:r>
          </w:p>
        </w:tc>
        <w:tc>
          <w:tcPr>
            <w:tcW w:w="1169"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2013</w:t>
            </w:r>
          </w:p>
        </w:tc>
        <w:tc>
          <w:tcPr>
            <w:tcW w:w="1134"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2014</w:t>
            </w:r>
          </w:p>
        </w:tc>
        <w:tc>
          <w:tcPr>
            <w:tcW w:w="1134"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2015</w:t>
            </w:r>
          </w:p>
        </w:tc>
        <w:tc>
          <w:tcPr>
            <w:tcW w:w="1276"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2016</w:t>
            </w:r>
          </w:p>
        </w:tc>
        <w:tc>
          <w:tcPr>
            <w:tcW w:w="1134"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2017</w:t>
            </w:r>
          </w:p>
        </w:tc>
        <w:tc>
          <w:tcPr>
            <w:tcW w:w="1134"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2018</w:t>
            </w:r>
          </w:p>
        </w:tc>
        <w:tc>
          <w:tcPr>
            <w:tcW w:w="1134"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2019</w:t>
            </w:r>
          </w:p>
        </w:tc>
        <w:tc>
          <w:tcPr>
            <w:tcW w:w="1134" w:type="dxa"/>
            <w:tcBorders>
              <w:top w:val="single" w:sz="4" w:space="0" w:color="auto"/>
              <w:left w:val="single" w:sz="4" w:space="0" w:color="auto"/>
              <w:bottom w:val="single" w:sz="4" w:space="0" w:color="auto"/>
              <w:right w:val="single" w:sz="4" w:space="0" w:color="auto"/>
            </w:tcBorders>
            <w:hideMark/>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2020</w:t>
            </w:r>
          </w:p>
        </w:tc>
        <w:tc>
          <w:tcPr>
            <w:tcW w:w="992" w:type="dxa"/>
            <w:tcBorders>
              <w:top w:val="single" w:sz="4" w:space="0" w:color="auto"/>
              <w:left w:val="single" w:sz="4" w:space="0" w:color="auto"/>
              <w:bottom w:val="single" w:sz="4" w:space="0" w:color="auto"/>
              <w:right w:val="single" w:sz="4" w:space="0" w:color="auto"/>
            </w:tcBorders>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2021</w:t>
            </w:r>
          </w:p>
        </w:tc>
        <w:tc>
          <w:tcPr>
            <w:tcW w:w="992" w:type="dxa"/>
            <w:tcBorders>
              <w:top w:val="single" w:sz="4" w:space="0" w:color="auto"/>
              <w:left w:val="single" w:sz="4" w:space="0" w:color="auto"/>
              <w:bottom w:val="single" w:sz="4" w:space="0" w:color="auto"/>
              <w:right w:val="single" w:sz="4" w:space="0" w:color="auto"/>
            </w:tcBorders>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2022</w:t>
            </w:r>
          </w:p>
        </w:tc>
        <w:tc>
          <w:tcPr>
            <w:tcW w:w="850" w:type="dxa"/>
            <w:tcBorders>
              <w:top w:val="single" w:sz="4" w:space="0" w:color="auto"/>
              <w:left w:val="single" w:sz="4" w:space="0" w:color="auto"/>
              <w:bottom w:val="single" w:sz="4" w:space="0" w:color="auto"/>
              <w:right w:val="single" w:sz="4" w:space="0" w:color="auto"/>
            </w:tcBorders>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2023</w:t>
            </w:r>
          </w:p>
        </w:tc>
        <w:tc>
          <w:tcPr>
            <w:tcW w:w="675" w:type="dxa"/>
            <w:tcBorders>
              <w:top w:val="single" w:sz="4" w:space="0" w:color="auto"/>
              <w:left w:val="single" w:sz="4" w:space="0" w:color="auto"/>
              <w:bottom w:val="single" w:sz="4" w:space="0" w:color="auto"/>
              <w:right w:val="single" w:sz="4" w:space="0" w:color="auto"/>
            </w:tcBorders>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2024</w:t>
            </w:r>
          </w:p>
        </w:tc>
        <w:tc>
          <w:tcPr>
            <w:tcW w:w="674" w:type="dxa"/>
            <w:tcBorders>
              <w:top w:val="single" w:sz="4" w:space="0" w:color="auto"/>
              <w:left w:val="single" w:sz="4" w:space="0" w:color="auto"/>
              <w:bottom w:val="single" w:sz="4" w:space="0" w:color="auto"/>
              <w:right w:val="single" w:sz="4" w:space="0" w:color="auto"/>
            </w:tcBorders>
          </w:tcPr>
          <w:p w:rsidR="008D5D14" w:rsidRPr="00FB661F" w:rsidRDefault="008D5D14" w:rsidP="008D5D14">
            <w:pPr>
              <w:jc w:val="center"/>
              <w:rPr>
                <w:rFonts w:ascii="Times New Roman" w:hAnsi="Times New Roman" w:cs="Times New Roman"/>
                <w:b/>
                <w:sz w:val="18"/>
                <w:szCs w:val="18"/>
              </w:rPr>
            </w:pPr>
            <w:r w:rsidRPr="00FB661F">
              <w:rPr>
                <w:rFonts w:ascii="Times New Roman" w:hAnsi="Times New Roman" w:cs="Times New Roman"/>
                <w:b/>
                <w:sz w:val="18"/>
                <w:szCs w:val="18"/>
              </w:rPr>
              <w:t>2025</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eastAsia="Times New Roman" w:hAnsi="Times New Roman" w:cs="Times New Roman"/>
                <w:b/>
                <w:sz w:val="18"/>
                <w:szCs w:val="18"/>
                <w:lang w:eastAsia="ru-RU"/>
              </w:rPr>
            </w:pPr>
            <w:r w:rsidRPr="00E8425A">
              <w:rPr>
                <w:rFonts w:ascii="Times New Roman" w:eastAsia="Times New Roman" w:hAnsi="Times New Roman" w:cs="Times New Roman"/>
                <w:b/>
                <w:sz w:val="18"/>
                <w:szCs w:val="18"/>
                <w:lang w:eastAsia="ru-RU"/>
              </w:rPr>
              <w:t xml:space="preserve">Инвестиций по РЦП Чеченской Республики, всего </w:t>
            </w:r>
          </w:p>
          <w:p w:rsidR="008D5D14" w:rsidRPr="00E8425A" w:rsidRDefault="008D5D14" w:rsidP="008D5D14">
            <w:pPr>
              <w:rPr>
                <w:rFonts w:ascii="Times New Roman" w:eastAsia="Times New Roman" w:hAnsi="Times New Roman" w:cs="Times New Roman"/>
                <w:b/>
                <w:sz w:val="18"/>
                <w:szCs w:val="18"/>
                <w:lang w:eastAsia="ru-RU"/>
              </w:rPr>
            </w:pPr>
            <w:r w:rsidRPr="00E8425A">
              <w:rPr>
                <w:rFonts w:ascii="Times New Roman" w:eastAsia="Times New Roman" w:hAnsi="Times New Roman" w:cs="Times New Roman"/>
                <w:b/>
                <w:sz w:val="18"/>
                <w:szCs w:val="18"/>
                <w:lang w:eastAsia="ru-RU"/>
              </w:rPr>
              <w:t>млн. руб.</w:t>
            </w:r>
          </w:p>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в том числе:</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16892,6</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15027,2</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8071,5</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4668,8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5500,6</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4478,3</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4004,5</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3413,3</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105,2</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108,8</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72,6</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b/>
                <w:sz w:val="20"/>
                <w:szCs w:val="20"/>
              </w:rPr>
            </w:pPr>
            <w:r w:rsidRPr="00E8425A">
              <w:rPr>
                <w:rFonts w:ascii="Times New Roman" w:hAnsi="Times New Roman" w:cs="Times New Roman"/>
                <w:b/>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 РЦП "Повышение устойчивости основных объектов и систем жизнеобеспечения на территории Чеченской Республики на период 2009-2014 годов"</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14,3</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73,9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2. РЦП "Чистая вода" Чеченской Республики на 2012-2016 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760,0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331,3</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361,0</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303,9</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3. РЦП </w:t>
            </w:r>
            <w:r w:rsidRPr="00E8425A">
              <w:rPr>
                <w:rFonts w:ascii="Times New Roman" w:eastAsia="Times New Roman" w:hAnsi="Times New Roman" w:cs="Times New Roman"/>
                <w:sz w:val="18"/>
                <w:szCs w:val="18"/>
                <w:lang w:eastAsia="ru-RU"/>
              </w:rPr>
              <w:t>"Возвращение русского и русскоязычного населения в ЧР на 2011- 2013 гг. »</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728,7</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4. РЦП </w:t>
            </w:r>
            <w:r w:rsidRPr="00E8425A">
              <w:rPr>
                <w:rFonts w:ascii="Times New Roman" w:eastAsia="Times New Roman" w:hAnsi="Times New Roman" w:cs="Times New Roman"/>
                <w:sz w:val="18"/>
                <w:szCs w:val="18"/>
                <w:lang w:eastAsia="ru-RU"/>
              </w:rPr>
              <w:t xml:space="preserve"> "Национальное развитие и межнациональное сотрудничество в ЧР  на 2011- 2013 гг. »</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103,1</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5. РЦП </w:t>
            </w:r>
            <w:r w:rsidRPr="00E8425A">
              <w:rPr>
                <w:rFonts w:ascii="Times New Roman" w:eastAsia="Times New Roman" w:hAnsi="Times New Roman" w:cs="Times New Roman"/>
                <w:sz w:val="18"/>
                <w:szCs w:val="18"/>
                <w:lang w:eastAsia="ru-RU"/>
              </w:rPr>
              <w:t>"Информационное общество ЧР на 2011-2020 года"</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128,0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136,0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144,0</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154.0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164,0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174,0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184,0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196,0</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6. РЦП </w:t>
            </w:r>
            <w:r w:rsidRPr="00E8425A">
              <w:rPr>
                <w:rFonts w:ascii="Times New Roman" w:eastAsia="Times New Roman" w:hAnsi="Times New Roman" w:cs="Times New Roman"/>
                <w:sz w:val="18"/>
                <w:szCs w:val="18"/>
                <w:lang w:eastAsia="ru-RU"/>
              </w:rPr>
              <w:t>"Обеспечение жильем молодых семей на 2011-2015гг."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706,8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737,8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909,7</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7. РЦП </w:t>
            </w:r>
            <w:r w:rsidRPr="00E8425A">
              <w:rPr>
                <w:rFonts w:ascii="Times New Roman" w:eastAsia="Times New Roman" w:hAnsi="Times New Roman" w:cs="Times New Roman"/>
                <w:sz w:val="18"/>
                <w:szCs w:val="18"/>
                <w:lang w:eastAsia="ru-RU"/>
              </w:rPr>
              <w:t>"Использование нетрадиционных и возобновляемых источников энергии в ЧР на 2012-2015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1392,0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1392,0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1392,0</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8. РЦП </w:t>
            </w:r>
            <w:r w:rsidRPr="00E8425A">
              <w:rPr>
                <w:rFonts w:ascii="Times New Roman" w:eastAsia="Times New Roman" w:hAnsi="Times New Roman" w:cs="Times New Roman"/>
                <w:sz w:val="18"/>
                <w:szCs w:val="18"/>
                <w:lang w:eastAsia="ru-RU"/>
              </w:rPr>
              <w:t xml:space="preserve">"Развитие системы дошкольного образования </w:t>
            </w:r>
            <w:r w:rsidRPr="00E8425A">
              <w:rPr>
                <w:rFonts w:ascii="Times New Roman" w:eastAsia="Times New Roman" w:hAnsi="Times New Roman" w:cs="Times New Roman"/>
                <w:sz w:val="18"/>
                <w:szCs w:val="18"/>
                <w:lang w:eastAsia="ru-RU"/>
              </w:rPr>
              <w:lastRenderedPageBreak/>
              <w:t>Чеченской Республики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715,0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715,0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lastRenderedPageBreak/>
              <w:t>9. РЦП " Развитие мелиорации сельскохозяйственных земель Чеченской Республики на 2013-2020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1195,4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1361,8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2483,6</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2977,8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4141,9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3229,6</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2722,9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2221,6</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10. РЦП " Развитие пищевой и перерабатывающей промышленности в районах Чеченской Республики" на 2013-2017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100,5</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205,0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125,5</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79,4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97,0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11. РЦП " Поддержка начинающих фермеров в Чеченской Республике на период 2012-2014 годов»</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350,0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388,9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 xml:space="preserve">12. РЦП " Развитие семейных животноводческих ферм на </w:t>
            </w:r>
            <w:proofErr w:type="spellStart"/>
            <w:r w:rsidRPr="00E8425A">
              <w:rPr>
                <w:rFonts w:ascii="Times New Roman" w:eastAsia="Times New Roman" w:hAnsi="Times New Roman" w:cs="Times New Roman"/>
                <w:sz w:val="18"/>
                <w:szCs w:val="18"/>
                <w:lang w:eastAsia="ru-RU"/>
              </w:rPr>
              <w:t>бозе</w:t>
            </w:r>
            <w:proofErr w:type="spellEnd"/>
            <w:r w:rsidRPr="00E8425A">
              <w:rPr>
                <w:rFonts w:ascii="Times New Roman" w:eastAsia="Times New Roman" w:hAnsi="Times New Roman" w:cs="Times New Roman"/>
                <w:sz w:val="18"/>
                <w:szCs w:val="18"/>
                <w:lang w:eastAsia="ru-RU"/>
              </w:rPr>
              <w:t xml:space="preserve"> крестьянских  (фермерских) хозяйств в ЧР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148,0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176,0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13. РЦП "Вовлечение молодежи Чеченской Республики в предпринимательскую деятельность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23,8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27,9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14. РЦП "Обеспечение мер пожарной безопасности в лесах Чеченской Республики на 2012-2018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33,6</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38,7</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44,5</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45,6</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48,9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100,0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15. РЦП "Развитие системы организации отдыха и оздоровление детей и подростков в ЧР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486,4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486,4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 xml:space="preserve">16. РЦП "Развитие физической культуры и спорта в ЧР на 2013-2015 </w:t>
            </w:r>
            <w:r w:rsidRPr="00E8425A">
              <w:rPr>
                <w:rFonts w:ascii="Times New Roman" w:eastAsia="Times New Roman" w:hAnsi="Times New Roman" w:cs="Times New Roman"/>
                <w:sz w:val="18"/>
                <w:szCs w:val="18"/>
                <w:lang w:eastAsia="ru-RU"/>
              </w:rPr>
              <w:lastRenderedPageBreak/>
              <w:t>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301,2</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1155,9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489,5</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lastRenderedPageBreak/>
              <w:t xml:space="preserve">17. РЦП «Социальное развитие села до 2013 года»  </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354,0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18. РЦП "Развития виноградарства Чеченской Республики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152,0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19. РЦП </w:t>
            </w:r>
            <w:r w:rsidRPr="00E8425A">
              <w:rPr>
                <w:rFonts w:ascii="Times New Roman" w:eastAsia="Times New Roman" w:hAnsi="Times New Roman" w:cs="Times New Roman"/>
                <w:sz w:val="18"/>
                <w:szCs w:val="18"/>
                <w:lang w:eastAsia="ru-RU"/>
              </w:rPr>
              <w:t>"Восстановление и развитие семеноводства зерновых культур в  Чеченской Республике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297,4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20. РЦП </w:t>
            </w:r>
            <w:r w:rsidRPr="00E8425A">
              <w:rPr>
                <w:rFonts w:ascii="Times New Roman" w:eastAsia="Times New Roman" w:hAnsi="Times New Roman" w:cs="Times New Roman"/>
                <w:sz w:val="18"/>
                <w:szCs w:val="18"/>
                <w:lang w:eastAsia="ru-RU"/>
              </w:rPr>
              <w:t xml:space="preserve">"Развитие </w:t>
            </w:r>
            <w:proofErr w:type="gramStart"/>
            <w:r w:rsidRPr="00E8425A">
              <w:rPr>
                <w:rFonts w:ascii="Times New Roman" w:eastAsia="Times New Roman" w:hAnsi="Times New Roman" w:cs="Times New Roman"/>
                <w:sz w:val="18"/>
                <w:szCs w:val="18"/>
                <w:lang w:eastAsia="ru-RU"/>
              </w:rPr>
              <w:t>свеклосахарного</w:t>
            </w:r>
            <w:proofErr w:type="gramEnd"/>
            <w:r w:rsidRPr="00E8425A">
              <w:rPr>
                <w:rFonts w:ascii="Times New Roman" w:eastAsia="Times New Roman" w:hAnsi="Times New Roman" w:cs="Times New Roman"/>
                <w:sz w:val="18"/>
                <w:szCs w:val="18"/>
                <w:lang w:eastAsia="ru-RU"/>
              </w:rPr>
              <w:t xml:space="preserve"> </w:t>
            </w:r>
            <w:proofErr w:type="spellStart"/>
            <w:r w:rsidRPr="00E8425A">
              <w:rPr>
                <w:rFonts w:ascii="Times New Roman" w:eastAsia="Times New Roman" w:hAnsi="Times New Roman" w:cs="Times New Roman"/>
                <w:sz w:val="18"/>
                <w:szCs w:val="18"/>
                <w:lang w:eastAsia="ru-RU"/>
              </w:rPr>
              <w:t>подкомплекса</w:t>
            </w:r>
            <w:proofErr w:type="spellEnd"/>
            <w:r w:rsidRPr="00E8425A">
              <w:rPr>
                <w:rFonts w:ascii="Times New Roman" w:eastAsia="Times New Roman" w:hAnsi="Times New Roman" w:cs="Times New Roman"/>
                <w:sz w:val="18"/>
                <w:szCs w:val="18"/>
                <w:lang w:eastAsia="ru-RU"/>
              </w:rPr>
              <w:t xml:space="preserve"> Чеченской Республики на 2011-2014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509,8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652,5</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21. РЦП </w:t>
            </w:r>
            <w:r w:rsidRPr="00E8425A">
              <w:rPr>
                <w:rFonts w:ascii="Times New Roman" w:eastAsia="Times New Roman" w:hAnsi="Times New Roman" w:cs="Times New Roman"/>
                <w:sz w:val="18"/>
                <w:szCs w:val="18"/>
                <w:lang w:eastAsia="ru-RU"/>
              </w:rPr>
              <w:t xml:space="preserve">«Энергосбережение и повышение </w:t>
            </w:r>
            <w:proofErr w:type="spellStart"/>
            <w:r w:rsidRPr="00E8425A">
              <w:rPr>
                <w:rFonts w:ascii="Times New Roman" w:eastAsia="Times New Roman" w:hAnsi="Times New Roman" w:cs="Times New Roman"/>
                <w:sz w:val="18"/>
                <w:szCs w:val="18"/>
                <w:lang w:eastAsia="ru-RU"/>
              </w:rPr>
              <w:t>энергоэффективности</w:t>
            </w:r>
            <w:proofErr w:type="spellEnd"/>
            <w:r w:rsidRPr="00E8425A">
              <w:rPr>
                <w:rFonts w:ascii="Times New Roman" w:eastAsia="Times New Roman" w:hAnsi="Times New Roman" w:cs="Times New Roman"/>
                <w:sz w:val="18"/>
                <w:szCs w:val="18"/>
                <w:lang w:eastAsia="ru-RU"/>
              </w:rPr>
              <w:t xml:space="preserve"> в Чеченской Республике на 2011-2013 годы» и на перспективу до 2020 года»</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1891,8</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22. РЦП </w:t>
            </w:r>
            <w:r w:rsidRPr="00E8425A">
              <w:rPr>
                <w:rFonts w:ascii="Times New Roman" w:eastAsia="Times New Roman" w:hAnsi="Times New Roman" w:cs="Times New Roman"/>
                <w:sz w:val="18"/>
                <w:szCs w:val="18"/>
                <w:lang w:eastAsia="ru-RU"/>
              </w:rPr>
              <w:t>Программа мониторинга современного состояния и использования объектов культурного наследия (памятников истории и культуры) на территории ЧР 2011-2014гг.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31,0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31,0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23. РЦП </w:t>
            </w:r>
            <w:r w:rsidRPr="00E8425A">
              <w:rPr>
                <w:rFonts w:ascii="Times New Roman" w:eastAsia="Times New Roman" w:hAnsi="Times New Roman" w:cs="Times New Roman"/>
                <w:sz w:val="18"/>
                <w:szCs w:val="18"/>
                <w:lang w:eastAsia="ru-RU"/>
              </w:rPr>
              <w:t>"Комплексная программа допризывной подготовки молодежи  в Чеченской Республике на 2010-2014 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4,1</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4,1</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24. РЦП </w:t>
            </w:r>
            <w:r w:rsidRPr="00E8425A">
              <w:rPr>
                <w:rFonts w:ascii="Times New Roman" w:eastAsia="Times New Roman" w:hAnsi="Times New Roman" w:cs="Times New Roman"/>
                <w:sz w:val="18"/>
                <w:szCs w:val="18"/>
                <w:lang w:eastAsia="ru-RU"/>
              </w:rPr>
              <w:t xml:space="preserve"> "Развитие дорожной отрасли ЧР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2303,7</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2405,9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 xml:space="preserve">25. РЦП "Обеспечение резервными автономными </w:t>
            </w:r>
            <w:r w:rsidRPr="00E8425A">
              <w:rPr>
                <w:rFonts w:ascii="Times New Roman" w:eastAsia="Times New Roman" w:hAnsi="Times New Roman" w:cs="Times New Roman"/>
                <w:sz w:val="18"/>
                <w:szCs w:val="18"/>
                <w:lang w:eastAsia="ru-RU"/>
              </w:rPr>
              <w:lastRenderedPageBreak/>
              <w:t>источниками электроснабжения объектов жизнеобеспечения  ЧР  на 2011- 2014 гг. »</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132,4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160,6</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lastRenderedPageBreak/>
              <w:t xml:space="preserve">26. РЦП </w:t>
            </w:r>
            <w:r w:rsidRPr="00E8425A">
              <w:rPr>
                <w:rFonts w:ascii="Times New Roman" w:eastAsia="Times New Roman" w:hAnsi="Times New Roman" w:cs="Times New Roman"/>
                <w:sz w:val="18"/>
                <w:szCs w:val="18"/>
                <w:lang w:eastAsia="ru-RU"/>
              </w:rPr>
              <w:t>"Информатизация системы здравоохранения ЧР  на 2011- 2013 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97,0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739"/>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27. РЦП </w:t>
            </w:r>
            <w:r w:rsidRPr="00E8425A">
              <w:rPr>
                <w:rFonts w:ascii="Times New Roman" w:eastAsia="Times New Roman" w:hAnsi="Times New Roman" w:cs="Times New Roman"/>
                <w:sz w:val="18"/>
                <w:szCs w:val="18"/>
                <w:lang w:eastAsia="ru-RU"/>
              </w:rPr>
              <w:t xml:space="preserve"> "Комплексные меры противодействия злоупотреблению наркотиками и их незаконному обороту на 2011- 2014 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31,1</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32,0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28. РЦП «</w:t>
            </w:r>
            <w:r w:rsidRPr="00E8425A">
              <w:rPr>
                <w:rFonts w:ascii="Times New Roman" w:eastAsia="Times New Roman" w:hAnsi="Times New Roman" w:cs="Times New Roman"/>
                <w:sz w:val="18"/>
                <w:szCs w:val="18"/>
                <w:lang w:eastAsia="ru-RU"/>
              </w:rPr>
              <w:t>Программа поддержки и развития малого и среднего предпринимательства в ЧР на 2011-2013гг.»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160,0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29. РЦП </w:t>
            </w:r>
            <w:r w:rsidRPr="00E8425A">
              <w:rPr>
                <w:rFonts w:ascii="Times New Roman" w:eastAsia="Times New Roman" w:hAnsi="Times New Roman" w:cs="Times New Roman"/>
                <w:sz w:val="18"/>
                <w:szCs w:val="18"/>
                <w:lang w:eastAsia="ru-RU"/>
              </w:rPr>
              <w:t>"Развитие системы ипотечного жилищного кредитования в ЧР на 2011-2015гг."</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177,4</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188,1</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199,0</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30. РЦП </w:t>
            </w:r>
            <w:r w:rsidRPr="00E8425A">
              <w:rPr>
                <w:rFonts w:ascii="Times New Roman" w:eastAsia="Times New Roman" w:hAnsi="Times New Roman" w:cs="Times New Roman"/>
                <w:sz w:val="18"/>
                <w:szCs w:val="18"/>
                <w:lang w:eastAsia="ru-RU"/>
              </w:rPr>
              <w:t xml:space="preserve">"Развитие промышленности </w:t>
            </w:r>
            <w:proofErr w:type="gramStart"/>
            <w:r w:rsidRPr="00E8425A">
              <w:rPr>
                <w:rFonts w:ascii="Times New Roman" w:eastAsia="Times New Roman" w:hAnsi="Times New Roman" w:cs="Times New Roman"/>
                <w:sz w:val="18"/>
                <w:szCs w:val="18"/>
                <w:lang w:eastAsia="ru-RU"/>
              </w:rPr>
              <w:t>в</w:t>
            </w:r>
            <w:proofErr w:type="gramEnd"/>
            <w:r w:rsidRPr="00E8425A">
              <w:rPr>
                <w:rFonts w:ascii="Times New Roman" w:eastAsia="Times New Roman" w:hAnsi="Times New Roman" w:cs="Times New Roman"/>
                <w:sz w:val="18"/>
                <w:szCs w:val="18"/>
                <w:lang w:eastAsia="ru-RU"/>
              </w:rPr>
              <w:t xml:space="preserve"> </w:t>
            </w:r>
            <w:proofErr w:type="gramStart"/>
            <w:r w:rsidRPr="00E8425A">
              <w:rPr>
                <w:rFonts w:ascii="Times New Roman" w:eastAsia="Times New Roman" w:hAnsi="Times New Roman" w:cs="Times New Roman"/>
                <w:sz w:val="18"/>
                <w:szCs w:val="18"/>
                <w:lang w:eastAsia="ru-RU"/>
              </w:rPr>
              <w:t>Чеченской</w:t>
            </w:r>
            <w:proofErr w:type="gramEnd"/>
            <w:r w:rsidRPr="00E8425A">
              <w:rPr>
                <w:rFonts w:ascii="Times New Roman" w:eastAsia="Times New Roman" w:hAnsi="Times New Roman" w:cs="Times New Roman"/>
                <w:sz w:val="18"/>
                <w:szCs w:val="18"/>
                <w:lang w:eastAsia="ru-RU"/>
              </w:rPr>
              <w:t xml:space="preserve"> Республики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250,0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250,0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31. РЦП </w:t>
            </w:r>
            <w:r w:rsidRPr="00E8425A">
              <w:rPr>
                <w:rFonts w:ascii="Times New Roman" w:eastAsia="Times New Roman" w:hAnsi="Times New Roman" w:cs="Times New Roman"/>
                <w:sz w:val="18"/>
                <w:szCs w:val="18"/>
                <w:lang w:eastAsia="ru-RU"/>
              </w:rPr>
              <w:t>"Создание благоприятных условий для привлечения инвестиций в экономику Чеченской Республики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316,7</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315,3</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32. РЦП </w:t>
            </w:r>
            <w:r w:rsidRPr="00E8425A">
              <w:rPr>
                <w:rFonts w:ascii="Times New Roman" w:eastAsia="Times New Roman" w:hAnsi="Times New Roman" w:cs="Times New Roman"/>
                <w:sz w:val="18"/>
                <w:szCs w:val="18"/>
                <w:lang w:eastAsia="ru-RU"/>
              </w:rPr>
              <w:t>"Развитие мясного скотоводства Чеченской Республики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228,3</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33. РЦП </w:t>
            </w:r>
            <w:r w:rsidRPr="00E8425A">
              <w:rPr>
                <w:rFonts w:ascii="Times New Roman" w:eastAsia="Times New Roman" w:hAnsi="Times New Roman" w:cs="Times New Roman"/>
                <w:sz w:val="18"/>
                <w:szCs w:val="18"/>
                <w:lang w:eastAsia="ru-RU"/>
              </w:rPr>
              <w:t>"Повышение качества жизни пожилых людей на 2011-2013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40,9</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hAnsi="Times New Roman" w:cs="Times New Roman"/>
                <w:sz w:val="18"/>
                <w:szCs w:val="18"/>
              </w:rPr>
              <w:t xml:space="preserve">34. РЦП </w:t>
            </w:r>
            <w:r w:rsidRPr="00E8425A">
              <w:rPr>
                <w:rFonts w:ascii="Times New Roman" w:eastAsia="Times New Roman" w:hAnsi="Times New Roman" w:cs="Times New Roman"/>
                <w:sz w:val="18"/>
                <w:szCs w:val="18"/>
                <w:lang w:eastAsia="ru-RU"/>
              </w:rPr>
              <w:t xml:space="preserve">"Подготовка специалистов с углубленным знанием </w:t>
            </w:r>
            <w:r w:rsidRPr="00E8425A">
              <w:rPr>
                <w:rFonts w:ascii="Times New Roman" w:eastAsia="Times New Roman" w:hAnsi="Times New Roman" w:cs="Times New Roman"/>
                <w:sz w:val="18"/>
                <w:szCs w:val="18"/>
                <w:lang w:eastAsia="ru-RU"/>
              </w:rPr>
              <w:lastRenderedPageBreak/>
              <w:t>истории и культуры ислама  на 2012-2014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lastRenderedPageBreak/>
              <w:t>91,5</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99,5</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lastRenderedPageBreak/>
              <w:t>35. РЦП "Развитие спорта в Чеченской Республике на период 2012-2014 годов"</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595,0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595,0</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36. РЦП "Развитие мелиоративных систем и отдельно расположенных гидротехнических сооружений в ЧР на 2012- 2014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632,2</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485,5</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rPr>
                <w:rFonts w:ascii="Times New Roman" w:hAnsi="Times New Roman" w:cs="Times New Roman"/>
                <w:sz w:val="18"/>
                <w:szCs w:val="18"/>
              </w:rPr>
            </w:pPr>
            <w:r w:rsidRPr="00E8425A">
              <w:rPr>
                <w:rFonts w:ascii="Times New Roman" w:eastAsia="Times New Roman" w:hAnsi="Times New Roman" w:cs="Times New Roman"/>
                <w:sz w:val="18"/>
                <w:szCs w:val="18"/>
                <w:lang w:eastAsia="ru-RU"/>
              </w:rPr>
              <w:t>37. РЦП "Культура ЧР на 2012-2015 годы"</w:t>
            </w:r>
          </w:p>
        </w:tc>
        <w:tc>
          <w:tcPr>
            <w:tcW w:w="1169"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30,7</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49,7</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51,9</w:t>
            </w:r>
          </w:p>
        </w:tc>
        <w:tc>
          <w:tcPr>
            <w:tcW w:w="1276"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1134" w:type="dxa"/>
            <w:tcBorders>
              <w:top w:val="single" w:sz="4" w:space="0" w:color="auto"/>
              <w:left w:val="single" w:sz="4" w:space="0" w:color="auto"/>
              <w:bottom w:val="single" w:sz="4" w:space="0" w:color="auto"/>
              <w:right w:val="single" w:sz="4" w:space="0" w:color="auto"/>
            </w:tcBorders>
            <w:hideMark/>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38.</w:t>
            </w:r>
            <w:r w:rsidRPr="00E8425A">
              <w:rPr>
                <w:rFonts w:ascii="Times New Roman" w:hAnsi="Times New Roman" w:cs="Times New Roman"/>
                <w:sz w:val="18"/>
                <w:szCs w:val="18"/>
              </w:rPr>
              <w:t xml:space="preserve"> </w:t>
            </w:r>
            <w:r w:rsidRPr="00E8425A">
              <w:rPr>
                <w:rFonts w:ascii="Times New Roman" w:eastAsia="Times New Roman" w:hAnsi="Times New Roman" w:cs="Times New Roman"/>
                <w:sz w:val="18"/>
                <w:szCs w:val="18"/>
                <w:lang w:eastAsia="ru-RU"/>
              </w:rPr>
              <w:t>РЦП "Создание резерва материально-технических, медицинских и иных сре</w:t>
            </w:r>
            <w:proofErr w:type="gramStart"/>
            <w:r w:rsidRPr="00E8425A">
              <w:rPr>
                <w:rFonts w:ascii="Times New Roman" w:eastAsia="Times New Roman" w:hAnsi="Times New Roman" w:cs="Times New Roman"/>
                <w:sz w:val="18"/>
                <w:szCs w:val="18"/>
                <w:lang w:eastAsia="ru-RU"/>
              </w:rPr>
              <w:t>дств дл</w:t>
            </w:r>
            <w:proofErr w:type="gramEnd"/>
            <w:r w:rsidRPr="00E8425A">
              <w:rPr>
                <w:rFonts w:ascii="Times New Roman" w:eastAsia="Times New Roman" w:hAnsi="Times New Roman" w:cs="Times New Roman"/>
                <w:sz w:val="18"/>
                <w:szCs w:val="18"/>
                <w:lang w:eastAsia="ru-RU"/>
              </w:rPr>
              <w:t>я выполнения мероприятий гражданской обороны в Чеченской Республике на 2013-2023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23,889</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71,775</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84,319</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87,691</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91,111</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94,601</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98,101</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101,633</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105,190</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108,766</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eastAsia="Times New Roman" w:hAnsi="Times New Roman" w:cs="Times New Roman"/>
                <w:bCs/>
                <w:sz w:val="20"/>
                <w:szCs w:val="20"/>
                <w:lang w:eastAsia="ru-RU"/>
              </w:rPr>
              <w:t>72,630</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39. РЦП "Доступная среда на 2013-2015 гг."</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102,000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112,408</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95,618</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40. РЦП "Экология и природные ресурсы ЧР на 2012-2020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187,754</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286,228</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525,345</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1 020,439</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957,637</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880,096</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999,471</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894,111</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iCs/>
                <w:sz w:val="18"/>
                <w:szCs w:val="18"/>
                <w:lang w:eastAsia="ru-RU"/>
              </w:rPr>
              <w:t xml:space="preserve">41. РЦП "Улучшение условий и охраны труда </w:t>
            </w:r>
            <w:proofErr w:type="gramStart"/>
            <w:r w:rsidRPr="00E8425A">
              <w:rPr>
                <w:rFonts w:ascii="Times New Roman" w:eastAsia="Times New Roman" w:hAnsi="Times New Roman" w:cs="Times New Roman"/>
                <w:iCs/>
                <w:sz w:val="18"/>
                <w:szCs w:val="18"/>
                <w:lang w:eastAsia="ru-RU"/>
              </w:rPr>
              <w:t>в</w:t>
            </w:r>
            <w:proofErr w:type="gramEnd"/>
            <w:r w:rsidRPr="00E8425A">
              <w:rPr>
                <w:rFonts w:ascii="Times New Roman" w:eastAsia="Times New Roman" w:hAnsi="Times New Roman" w:cs="Times New Roman"/>
                <w:iCs/>
                <w:sz w:val="18"/>
                <w:szCs w:val="18"/>
                <w:lang w:eastAsia="ru-RU"/>
              </w:rPr>
              <w:t xml:space="preserve"> </w:t>
            </w:r>
            <w:proofErr w:type="gramStart"/>
            <w:r w:rsidRPr="00E8425A">
              <w:rPr>
                <w:rFonts w:ascii="Times New Roman" w:eastAsia="Times New Roman" w:hAnsi="Times New Roman" w:cs="Times New Roman"/>
                <w:iCs/>
                <w:sz w:val="18"/>
                <w:szCs w:val="18"/>
                <w:lang w:eastAsia="ru-RU"/>
              </w:rPr>
              <w:t>Чеченкой</w:t>
            </w:r>
            <w:proofErr w:type="gramEnd"/>
            <w:r w:rsidRPr="00E8425A">
              <w:rPr>
                <w:rFonts w:ascii="Times New Roman" w:eastAsia="Times New Roman" w:hAnsi="Times New Roman" w:cs="Times New Roman"/>
                <w:iCs/>
                <w:sz w:val="18"/>
                <w:szCs w:val="18"/>
                <w:lang w:eastAsia="ru-RU"/>
              </w:rPr>
              <w:t xml:space="preserve"> Республике на 2012-2015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2,3</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2,3</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2,3</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iCs/>
                <w:sz w:val="18"/>
                <w:szCs w:val="18"/>
                <w:lang w:eastAsia="ru-RU"/>
              </w:rPr>
              <w:t xml:space="preserve">42. РЦП "Снижение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w:t>
            </w:r>
            <w:r w:rsidRPr="00E8425A">
              <w:rPr>
                <w:rFonts w:ascii="Times New Roman" w:eastAsia="Times New Roman" w:hAnsi="Times New Roman" w:cs="Times New Roman"/>
                <w:iCs/>
                <w:sz w:val="18"/>
                <w:szCs w:val="18"/>
                <w:lang w:eastAsia="ru-RU"/>
              </w:rPr>
              <w:lastRenderedPageBreak/>
              <w:t>муниципальных услуг в Чеченской Республике на 2011-2013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lastRenderedPageBreak/>
              <w:t>24,5</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lastRenderedPageBreak/>
              <w:t>43. РЦП "Безопасное донорство и перспективное развитие службы крови Чеченской Республики на 2013 год"</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iCs/>
                <w:sz w:val="20"/>
                <w:szCs w:val="20"/>
                <w:lang w:eastAsia="ru-RU"/>
              </w:rPr>
              <w:t>134,645</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t>44. " Развитие табунного коневодства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iCs/>
                <w:sz w:val="20"/>
                <w:szCs w:val="20"/>
                <w:lang w:eastAsia="ru-RU"/>
              </w:rPr>
              <w:t>109,600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iCs/>
                <w:sz w:val="20"/>
                <w:szCs w:val="20"/>
                <w:lang w:eastAsia="ru-RU"/>
              </w:rPr>
              <w:t>48,500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iCs/>
                <w:sz w:val="20"/>
                <w:szCs w:val="20"/>
                <w:lang w:eastAsia="ru-RU"/>
              </w:rPr>
              <w:t>35,800</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t>45. "Развитие овцеводства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245,220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261,608</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sz w:val="20"/>
                <w:szCs w:val="20"/>
                <w:lang w:eastAsia="ru-RU"/>
              </w:rPr>
              <w:t>303,677</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iCs/>
                <w:sz w:val="18"/>
                <w:szCs w:val="18"/>
                <w:lang w:eastAsia="ru-RU"/>
              </w:rPr>
              <w:t xml:space="preserve">46. "Развитие овощеводства в Чеченской Республике на 2013-2015 годы"           </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97,506</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98,091</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104,986</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sz w:val="18"/>
                <w:szCs w:val="18"/>
                <w:lang w:eastAsia="ru-RU"/>
              </w:rPr>
              <w:t>47. «Развитие молочного скотоводства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166,890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1 336,917</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502,618</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iCs/>
                <w:sz w:val="18"/>
                <w:szCs w:val="18"/>
                <w:lang w:eastAsia="ru-RU"/>
              </w:rPr>
            </w:pPr>
            <w:r w:rsidRPr="00E8425A">
              <w:rPr>
                <w:rFonts w:ascii="Times New Roman" w:eastAsia="Times New Roman" w:hAnsi="Times New Roman" w:cs="Times New Roman"/>
                <w:sz w:val="18"/>
                <w:szCs w:val="18"/>
                <w:lang w:eastAsia="ru-RU"/>
              </w:rPr>
              <w:t>48. "Развитие птицеводства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162,490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216,510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100,740</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r w:rsidR="00E8425A" w:rsidRPr="00FB661F" w:rsidTr="00E8425A">
        <w:trPr>
          <w:trHeight w:val="153"/>
        </w:trPr>
        <w:tc>
          <w:tcPr>
            <w:tcW w:w="22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rPr>
                <w:rFonts w:ascii="Times New Roman" w:eastAsia="Times New Roman" w:hAnsi="Times New Roman" w:cs="Times New Roman"/>
                <w:sz w:val="18"/>
                <w:szCs w:val="18"/>
                <w:lang w:eastAsia="ru-RU"/>
              </w:rPr>
            </w:pPr>
            <w:r w:rsidRPr="00E8425A">
              <w:rPr>
                <w:rFonts w:ascii="Times New Roman" w:eastAsia="Times New Roman" w:hAnsi="Times New Roman" w:cs="Times New Roman"/>
                <w:sz w:val="18"/>
                <w:szCs w:val="18"/>
                <w:lang w:eastAsia="ru-RU"/>
              </w:rPr>
              <w:t>49. "Разведение одомашненных видов и пород рыб (развитие сельскохозяйственного рыбоводства)  в Чеченской Республике на 2013-2015 годы"</w:t>
            </w:r>
          </w:p>
        </w:tc>
        <w:tc>
          <w:tcPr>
            <w:tcW w:w="1169"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115,010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97,100</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sz w:val="20"/>
                <w:szCs w:val="20"/>
                <w:lang w:eastAsia="ru-RU"/>
              </w:rPr>
            </w:pPr>
            <w:r w:rsidRPr="00E8425A">
              <w:rPr>
                <w:rFonts w:ascii="Times New Roman" w:eastAsia="Times New Roman" w:hAnsi="Times New Roman" w:cs="Times New Roman"/>
                <w:sz w:val="20"/>
                <w:szCs w:val="20"/>
                <w:lang w:eastAsia="ru-RU"/>
              </w:rPr>
              <w:t>115,400</w:t>
            </w:r>
          </w:p>
        </w:tc>
        <w:tc>
          <w:tcPr>
            <w:tcW w:w="1276"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113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992"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850"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eastAsia="Times New Roman" w:hAnsi="Times New Roman" w:cs="Times New Roman"/>
                <w:bCs/>
                <w:sz w:val="20"/>
                <w:szCs w:val="20"/>
                <w:lang w:eastAsia="ru-RU"/>
              </w:rPr>
            </w:pPr>
            <w:r w:rsidRPr="00E8425A">
              <w:rPr>
                <w:rFonts w:ascii="Times New Roman" w:eastAsia="Times New Roman" w:hAnsi="Times New Roman" w:cs="Times New Roman"/>
                <w:bCs/>
                <w:sz w:val="20"/>
                <w:szCs w:val="20"/>
                <w:lang w:eastAsia="ru-RU"/>
              </w:rPr>
              <w:t>х</w:t>
            </w:r>
          </w:p>
        </w:tc>
        <w:tc>
          <w:tcPr>
            <w:tcW w:w="675"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c>
          <w:tcPr>
            <w:tcW w:w="674" w:type="dxa"/>
            <w:tcBorders>
              <w:top w:val="single" w:sz="4" w:space="0" w:color="auto"/>
              <w:left w:val="single" w:sz="4" w:space="0" w:color="auto"/>
              <w:bottom w:val="single" w:sz="4" w:space="0" w:color="auto"/>
              <w:right w:val="single" w:sz="4" w:space="0" w:color="auto"/>
            </w:tcBorders>
          </w:tcPr>
          <w:p w:rsidR="008D5D14" w:rsidRPr="00E8425A" w:rsidRDefault="008D5D14" w:rsidP="008D5D14">
            <w:pPr>
              <w:jc w:val="center"/>
              <w:rPr>
                <w:rFonts w:ascii="Times New Roman" w:hAnsi="Times New Roman" w:cs="Times New Roman"/>
                <w:sz w:val="20"/>
                <w:szCs w:val="20"/>
              </w:rPr>
            </w:pPr>
            <w:r w:rsidRPr="00E8425A">
              <w:rPr>
                <w:rFonts w:ascii="Times New Roman" w:hAnsi="Times New Roman" w:cs="Times New Roman"/>
                <w:sz w:val="20"/>
                <w:szCs w:val="20"/>
              </w:rPr>
              <w:t>х</w:t>
            </w:r>
          </w:p>
        </w:tc>
      </w:tr>
    </w:tbl>
    <w:p w:rsidR="00E8425A" w:rsidRDefault="00E8425A" w:rsidP="008D5D14">
      <w:pPr>
        <w:rPr>
          <w:rFonts w:ascii="Times New Roman" w:hAnsi="Times New Roman" w:cs="Times New Roman"/>
          <w:b/>
          <w:sz w:val="24"/>
        </w:rPr>
        <w:sectPr w:rsidR="00E8425A" w:rsidSect="00E8425A">
          <w:pgSz w:w="16838" w:h="11906" w:orient="landscape"/>
          <w:pgMar w:top="1701" w:right="1134" w:bottom="851" w:left="1134" w:header="709" w:footer="709" w:gutter="0"/>
          <w:cols w:space="708"/>
          <w:docGrid w:linePitch="360"/>
        </w:sectPr>
      </w:pPr>
    </w:p>
    <w:p w:rsidR="008D5D14" w:rsidRPr="00C56334" w:rsidRDefault="008D5D14" w:rsidP="008D5D14">
      <w:pPr>
        <w:jc w:val="right"/>
        <w:rPr>
          <w:rFonts w:ascii="Times New Roman" w:hAnsi="Times New Roman" w:cs="Times New Roman"/>
          <w:b/>
          <w:sz w:val="28"/>
          <w:szCs w:val="28"/>
        </w:rPr>
      </w:pPr>
      <w:r w:rsidRPr="00C56334">
        <w:rPr>
          <w:rFonts w:ascii="Times New Roman" w:hAnsi="Times New Roman" w:cs="Times New Roman"/>
          <w:b/>
          <w:sz w:val="28"/>
          <w:szCs w:val="28"/>
        </w:rPr>
        <w:lastRenderedPageBreak/>
        <w:t>Приложение 3</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Расчет налогового потенциала ЧР  за 2011 и 2012 годы</w:t>
      </w:r>
    </w:p>
    <w:p w:rsidR="008D5D14" w:rsidRPr="00C56334" w:rsidRDefault="008D5D14" w:rsidP="008D5D14">
      <w:pPr>
        <w:rPr>
          <w:rFonts w:ascii="Times New Roman" w:hAnsi="Times New Roman" w:cs="Times New Roman"/>
          <w:b/>
          <w:sz w:val="28"/>
          <w:szCs w:val="28"/>
        </w:rPr>
      </w:pPr>
      <w:r w:rsidRPr="00C56334">
        <w:rPr>
          <w:rFonts w:ascii="Times New Roman" w:hAnsi="Times New Roman" w:cs="Times New Roman"/>
          <w:b/>
          <w:sz w:val="28"/>
          <w:szCs w:val="28"/>
        </w:rPr>
        <w:t xml:space="preserve">1. Расчет налогового потенциала ЧР за 2011 год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НД в консолидированный бюджет ЧР за 2010  = 8453, 1 млн. руб.</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НД в консолидированном бюджете ЧР в 2011 год =9903,5 млн. руб.</w:t>
      </w:r>
      <w:r w:rsidRPr="00C56334">
        <w:rPr>
          <w:rFonts w:ascii="Times New Roman" w:hAnsi="Times New Roman" w:cs="Times New Roman"/>
          <w:b/>
          <w:sz w:val="28"/>
          <w:szCs w:val="28"/>
        </w:rPr>
        <w:t xml:space="preserve">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Прирост НД консолидированного бюджета за 2011 г = (НД КБ ЧР</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НД КБ ЧР </w:t>
      </w:r>
      <w:r w:rsidRPr="00C56334">
        <w:rPr>
          <w:rFonts w:ascii="Times New Roman" w:hAnsi="Times New Roman" w:cs="Times New Roman"/>
          <w:sz w:val="28"/>
          <w:szCs w:val="28"/>
          <w:vertAlign w:val="subscript"/>
        </w:rPr>
        <w:t>2010</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/НД КБ ЧР </w:t>
      </w:r>
      <w:r w:rsidRPr="00C56334">
        <w:rPr>
          <w:rFonts w:ascii="Times New Roman" w:hAnsi="Times New Roman" w:cs="Times New Roman"/>
          <w:sz w:val="28"/>
          <w:szCs w:val="28"/>
          <w:vertAlign w:val="subscript"/>
        </w:rPr>
        <w:t>2010</w:t>
      </w:r>
      <w:r w:rsidRPr="00C56334">
        <w:rPr>
          <w:rFonts w:ascii="Times New Roman" w:hAnsi="Times New Roman" w:cs="Times New Roman"/>
          <w:sz w:val="28"/>
          <w:szCs w:val="28"/>
        </w:rPr>
        <w:t xml:space="preserve"> =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(9903,5 – 8453,1)/8453,1 =  0,1716</w:t>
      </w:r>
    </w:p>
    <w:p w:rsidR="008D5D14" w:rsidRPr="00C56334" w:rsidRDefault="008D5D14" w:rsidP="008D5D14">
      <w:pPr>
        <w:rPr>
          <w:rFonts w:ascii="Times New Roman" w:hAnsi="Times New Roman" w:cs="Times New Roman"/>
          <w:b/>
          <w:sz w:val="28"/>
          <w:szCs w:val="28"/>
        </w:rPr>
      </w:pPr>
      <w:r w:rsidRPr="00C56334">
        <w:rPr>
          <w:rFonts w:ascii="Times New Roman" w:hAnsi="Times New Roman" w:cs="Times New Roman"/>
          <w:b/>
          <w:sz w:val="28"/>
          <w:szCs w:val="28"/>
        </w:rPr>
        <w:t xml:space="preserve">РНП за 2010 год = </w:t>
      </w:r>
      <w:r w:rsidRPr="00C56334">
        <w:rPr>
          <w:rFonts w:ascii="Times New Roman" w:hAnsi="Times New Roman" w:cs="Times New Roman"/>
          <w:color w:val="000000"/>
          <w:sz w:val="28"/>
          <w:szCs w:val="28"/>
        </w:rPr>
        <w:t xml:space="preserve">14355,3 млн. руб.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b/>
          <w:sz w:val="28"/>
          <w:szCs w:val="28"/>
        </w:rPr>
        <w:t>РНП за 2011 г.</w:t>
      </w:r>
      <w:proofErr w:type="gramStart"/>
      <w:r w:rsidRPr="00C56334">
        <w:rPr>
          <w:rFonts w:ascii="Times New Roman" w:hAnsi="Times New Roman" w:cs="Times New Roman"/>
          <w:b/>
          <w:sz w:val="28"/>
          <w:szCs w:val="28"/>
        </w:rPr>
        <w:t xml:space="preserve"> :</w:t>
      </w:r>
      <w:proofErr w:type="gramEnd"/>
      <w:r w:rsidRPr="00C56334">
        <w:rPr>
          <w:rFonts w:ascii="Times New Roman" w:hAnsi="Times New Roman" w:cs="Times New Roman"/>
          <w:sz w:val="28"/>
          <w:szCs w:val="28"/>
        </w:rPr>
        <w:t xml:space="preserve">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2010</w:t>
      </w:r>
      <w:r w:rsidRPr="00C56334">
        <w:rPr>
          <w:rFonts w:ascii="Times New Roman" w:hAnsi="Times New Roman" w:cs="Times New Roman"/>
          <w:sz w:val="28"/>
          <w:szCs w:val="28"/>
        </w:rPr>
        <w:t xml:space="preserve">  + прирост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2010</w:t>
      </w:r>
      <w:r w:rsidRPr="00C56334">
        <w:rPr>
          <w:rFonts w:ascii="Times New Roman" w:hAnsi="Times New Roman" w:cs="Times New Roman"/>
          <w:sz w:val="28"/>
          <w:szCs w:val="28"/>
        </w:rPr>
        <w:t xml:space="preserve"> (1+ прирост НД КБ ЧР</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/1,2) =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14355,3 (1+ 0,1716/1,2) = 14355,3*1,143 = 16408,1 млн. руб.</w:t>
      </w:r>
    </w:p>
    <w:p w:rsidR="008D5D14" w:rsidRPr="00C56334" w:rsidRDefault="008D5D14" w:rsidP="008D5D14">
      <w:pPr>
        <w:rPr>
          <w:rFonts w:ascii="Times New Roman" w:hAnsi="Times New Roman" w:cs="Times New Roman"/>
          <w:b/>
          <w:sz w:val="28"/>
          <w:szCs w:val="28"/>
        </w:rPr>
      </w:pPr>
      <w:r w:rsidRPr="00C56334">
        <w:rPr>
          <w:rFonts w:ascii="Times New Roman" w:hAnsi="Times New Roman" w:cs="Times New Roman"/>
          <w:b/>
          <w:sz w:val="28"/>
          <w:szCs w:val="28"/>
        </w:rPr>
        <w:t>2. Расчет налогового потенциала ЧР за 2012 год</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 xml:space="preserve">НД в консолидированный бюджет ЧР за 2011  = </w:t>
      </w:r>
      <w:r w:rsidRPr="00C56334">
        <w:rPr>
          <w:rFonts w:ascii="Times New Roman" w:hAnsi="Times New Roman" w:cs="Times New Roman"/>
          <w:b/>
          <w:sz w:val="28"/>
          <w:szCs w:val="28"/>
        </w:rPr>
        <w:t>9903,5 млн. руб.</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НД в консолидированном бюджете ЧР в 2012 год =</w:t>
      </w:r>
      <w:r w:rsidRPr="00C56334">
        <w:rPr>
          <w:rFonts w:ascii="Times New Roman" w:hAnsi="Times New Roman" w:cs="Times New Roman"/>
          <w:b/>
          <w:sz w:val="28"/>
          <w:szCs w:val="28"/>
        </w:rPr>
        <w:t xml:space="preserve">11261,3 млн. руб.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Прирост НД консолидированного бюджета за 2012 г = (НД КБ ЧР</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НД КБ ЧР </w:t>
      </w:r>
      <w:r w:rsidRPr="00C56334">
        <w:rPr>
          <w:rFonts w:ascii="Times New Roman" w:hAnsi="Times New Roman" w:cs="Times New Roman"/>
          <w:sz w:val="28"/>
          <w:szCs w:val="28"/>
          <w:vertAlign w:val="subscript"/>
        </w:rPr>
        <w:t>2011</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/НД КБ ЧР </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sz w:val="28"/>
          <w:szCs w:val="28"/>
        </w:rPr>
        <w:t xml:space="preserve">(11261,3 – 9903,5)/9903,5 = 0,1371 </w:t>
      </w:r>
    </w:p>
    <w:p w:rsidR="008D5D14" w:rsidRPr="00C56334" w:rsidRDefault="008D5D14" w:rsidP="008D5D14">
      <w:pPr>
        <w:rPr>
          <w:rFonts w:ascii="Times New Roman" w:hAnsi="Times New Roman" w:cs="Times New Roman"/>
          <w:b/>
          <w:sz w:val="28"/>
          <w:szCs w:val="28"/>
        </w:rPr>
      </w:pPr>
      <w:r w:rsidRPr="00C56334">
        <w:rPr>
          <w:rFonts w:ascii="Times New Roman" w:hAnsi="Times New Roman" w:cs="Times New Roman"/>
          <w:b/>
          <w:sz w:val="28"/>
          <w:szCs w:val="28"/>
        </w:rPr>
        <w:t>РНП за 2011 год = 16408,1 млн. руб.</w:t>
      </w:r>
    </w:p>
    <w:p w:rsidR="008D5D14" w:rsidRPr="00C56334" w:rsidRDefault="008D5D14" w:rsidP="008D5D14">
      <w:pPr>
        <w:rPr>
          <w:rFonts w:ascii="Times New Roman" w:hAnsi="Times New Roman" w:cs="Times New Roman"/>
          <w:sz w:val="28"/>
          <w:szCs w:val="28"/>
        </w:rPr>
      </w:pPr>
      <w:r w:rsidRPr="00C56334">
        <w:rPr>
          <w:rFonts w:ascii="Times New Roman" w:hAnsi="Times New Roman" w:cs="Times New Roman"/>
          <w:b/>
          <w:sz w:val="28"/>
          <w:szCs w:val="28"/>
        </w:rPr>
        <w:t>РНП за 2012 г.:</w:t>
      </w:r>
      <w:r w:rsidRPr="00C56334">
        <w:rPr>
          <w:rFonts w:ascii="Times New Roman" w:hAnsi="Times New Roman" w:cs="Times New Roman"/>
          <w:sz w:val="28"/>
          <w:szCs w:val="28"/>
        </w:rPr>
        <w:t xml:space="preserve">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 прирост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2011</w:t>
      </w:r>
      <w:r w:rsidRPr="00C56334">
        <w:rPr>
          <w:rFonts w:ascii="Times New Roman" w:hAnsi="Times New Roman" w:cs="Times New Roman"/>
          <w:sz w:val="28"/>
          <w:szCs w:val="28"/>
        </w:rPr>
        <w:t xml:space="preserve"> (1+ прирост НД КБ ЧР</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/1,2) =</w:t>
      </w:r>
    </w:p>
    <w:p w:rsidR="008D5D14" w:rsidRPr="00C56334" w:rsidRDefault="008D5D14" w:rsidP="008D5D14">
      <w:pPr>
        <w:rPr>
          <w:rFonts w:ascii="Times New Roman" w:hAnsi="Times New Roman" w:cs="Times New Roman"/>
          <w:b/>
          <w:sz w:val="28"/>
          <w:szCs w:val="28"/>
        </w:rPr>
      </w:pPr>
      <w:r w:rsidRPr="00C56334">
        <w:rPr>
          <w:rFonts w:ascii="Times New Roman" w:hAnsi="Times New Roman" w:cs="Times New Roman"/>
          <w:sz w:val="28"/>
          <w:szCs w:val="28"/>
        </w:rPr>
        <w:t xml:space="preserve">16408,1 (1+0,1371/1,2) = </w:t>
      </w:r>
      <w:r w:rsidRPr="00C56334">
        <w:rPr>
          <w:rFonts w:ascii="Times New Roman" w:hAnsi="Times New Roman" w:cs="Times New Roman"/>
          <w:b/>
          <w:sz w:val="28"/>
          <w:szCs w:val="28"/>
        </w:rPr>
        <w:t>18282,7 млн. руб.</w:t>
      </w:r>
    </w:p>
    <w:p w:rsidR="005974D4" w:rsidRDefault="005974D4" w:rsidP="008D5D14">
      <w:pPr>
        <w:jc w:val="right"/>
        <w:rPr>
          <w:rFonts w:ascii="Times New Roman" w:hAnsi="Times New Roman" w:cs="Times New Roman"/>
          <w:b/>
          <w:sz w:val="28"/>
          <w:szCs w:val="28"/>
        </w:rPr>
      </w:pPr>
    </w:p>
    <w:p w:rsidR="008D5D14" w:rsidRPr="00C56334" w:rsidRDefault="008D5D14" w:rsidP="008D5D14">
      <w:pPr>
        <w:jc w:val="right"/>
        <w:rPr>
          <w:rFonts w:ascii="Times New Roman" w:hAnsi="Times New Roman" w:cs="Times New Roman"/>
          <w:b/>
          <w:sz w:val="28"/>
          <w:szCs w:val="28"/>
        </w:rPr>
      </w:pPr>
      <w:r w:rsidRPr="00C56334">
        <w:rPr>
          <w:rFonts w:ascii="Times New Roman" w:hAnsi="Times New Roman" w:cs="Times New Roman"/>
          <w:b/>
          <w:sz w:val="28"/>
          <w:szCs w:val="28"/>
        </w:rPr>
        <w:t>Приложение 4</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Прогноз НД консолидированного бюджета ЧР по сценарию «консолидации»</w:t>
      </w:r>
    </w:p>
    <w:p w:rsidR="008D5D14" w:rsidRPr="00C56334" w:rsidRDefault="008D5D14" w:rsidP="008D5D14">
      <w:pPr>
        <w:jc w:val="center"/>
        <w:rPr>
          <w:rFonts w:ascii="Times New Roman" w:hAnsi="Times New Roman" w:cs="Times New Roman"/>
          <w:b/>
          <w:sz w:val="28"/>
          <w:szCs w:val="28"/>
        </w:rPr>
      </w:pPr>
      <w:r w:rsidRPr="00C56334">
        <w:rPr>
          <w:rFonts w:ascii="Times New Roman" w:hAnsi="Times New Roman" w:cs="Times New Roman"/>
          <w:b/>
          <w:sz w:val="28"/>
          <w:szCs w:val="28"/>
        </w:rPr>
        <w:t xml:space="preserve">НД КБ ЧР </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rPr>
        <w:t xml:space="preserve"> = НД КБ ЧР </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vertAlign w:val="subscript"/>
        </w:rPr>
        <w:t>-1</w:t>
      </w:r>
      <w:r w:rsidRPr="00C56334">
        <w:rPr>
          <w:rFonts w:ascii="Times New Roman" w:hAnsi="Times New Roman" w:cs="Times New Roman"/>
          <w:b/>
          <w:sz w:val="28"/>
          <w:szCs w:val="28"/>
        </w:rPr>
        <w:t>(1+прирост РНП</w:t>
      </w:r>
      <w:proofErr w:type="gramStart"/>
      <w:r w:rsidRPr="00C56334">
        <w:rPr>
          <w:rFonts w:ascii="Times New Roman" w:hAnsi="Times New Roman" w:cs="Times New Roman"/>
          <w:b/>
          <w:sz w:val="28"/>
          <w:szCs w:val="28"/>
          <w:vertAlign w:val="subscript"/>
          <w:lang w:val="en-US"/>
        </w:rPr>
        <w:t>t</w:t>
      </w:r>
      <w:proofErr w:type="gramEnd"/>
      <w:r w:rsidRPr="00C56334">
        <w:rPr>
          <w:rFonts w:ascii="Times New Roman" w:hAnsi="Times New Roman" w:cs="Times New Roman"/>
          <w:b/>
          <w:sz w:val="28"/>
          <w:szCs w:val="28"/>
        </w:rPr>
        <w:t>*1,2)</w:t>
      </w:r>
    </w:p>
    <w:p w:rsidR="008D5D14" w:rsidRPr="00C56334" w:rsidRDefault="008D5D14" w:rsidP="008D5D14">
      <w:pPr>
        <w:spacing w:before="240"/>
        <w:jc w:val="center"/>
        <w:rPr>
          <w:rFonts w:ascii="Times New Roman" w:hAnsi="Times New Roman" w:cs="Times New Roman"/>
          <w:b/>
          <w:sz w:val="28"/>
          <w:szCs w:val="28"/>
        </w:rPr>
      </w:pPr>
      <w:r w:rsidRPr="00C56334">
        <w:rPr>
          <w:rFonts w:ascii="Times New Roman" w:hAnsi="Times New Roman" w:cs="Times New Roman"/>
          <w:b/>
          <w:sz w:val="28"/>
          <w:szCs w:val="28"/>
        </w:rPr>
        <w:lastRenderedPageBreak/>
        <w:t>Прирост РНП</w:t>
      </w:r>
      <w:proofErr w:type="gramStart"/>
      <w:r w:rsidRPr="00C56334">
        <w:rPr>
          <w:rFonts w:ascii="Times New Roman" w:hAnsi="Times New Roman" w:cs="Times New Roman"/>
          <w:b/>
          <w:sz w:val="28"/>
          <w:szCs w:val="28"/>
          <w:vertAlign w:val="subscript"/>
          <w:lang w:val="en-US"/>
        </w:rPr>
        <w:t>t</w:t>
      </w:r>
      <w:proofErr w:type="gramEnd"/>
      <w:r w:rsidRPr="00C56334">
        <w:rPr>
          <w:rFonts w:ascii="Times New Roman" w:hAnsi="Times New Roman" w:cs="Times New Roman"/>
          <w:b/>
          <w:sz w:val="28"/>
          <w:szCs w:val="28"/>
        </w:rPr>
        <w:t xml:space="preserve"> =  (РНП</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rPr>
        <w:t xml:space="preserve"> - РНП</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vertAlign w:val="subscript"/>
        </w:rPr>
        <w:t>-1</w:t>
      </w:r>
      <w:r w:rsidRPr="00C56334">
        <w:rPr>
          <w:rFonts w:ascii="Times New Roman" w:hAnsi="Times New Roman" w:cs="Times New Roman"/>
          <w:b/>
          <w:sz w:val="28"/>
          <w:szCs w:val="28"/>
        </w:rPr>
        <w:t>)/ РНП</w:t>
      </w:r>
      <w:r w:rsidRPr="00C56334">
        <w:rPr>
          <w:rFonts w:ascii="Times New Roman" w:hAnsi="Times New Roman" w:cs="Times New Roman"/>
          <w:b/>
          <w:sz w:val="28"/>
          <w:szCs w:val="28"/>
          <w:vertAlign w:val="subscript"/>
          <w:lang w:val="en-US"/>
        </w:rPr>
        <w:t>t</w:t>
      </w:r>
      <w:r w:rsidRPr="00C56334">
        <w:rPr>
          <w:rFonts w:ascii="Times New Roman" w:hAnsi="Times New Roman" w:cs="Times New Roman"/>
          <w:b/>
          <w:sz w:val="28"/>
          <w:szCs w:val="28"/>
          <w:vertAlign w:val="subscript"/>
        </w:rPr>
        <w:t>-1</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2013 год</w:t>
      </w:r>
      <w:r w:rsidRPr="00C56334">
        <w:rPr>
          <w:rFonts w:ascii="Times New Roman" w:hAnsi="Times New Roman" w:cs="Times New Roman"/>
          <w:sz w:val="28"/>
          <w:szCs w:val="28"/>
        </w:rPr>
        <w:t xml:space="preserve">:  11261,3 (1+0,3525) = 16024,8 млн. руб. </w:t>
      </w:r>
    </w:p>
    <w:p w:rsidR="008D5D14" w:rsidRPr="00C56334" w:rsidRDefault="008D5D14" w:rsidP="008D5D14">
      <w:pPr>
        <w:spacing w:before="240"/>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2013</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2013</w:t>
      </w:r>
      <w:r w:rsidRPr="00C56334">
        <w:rPr>
          <w:rFonts w:ascii="Times New Roman" w:hAnsi="Times New Roman" w:cs="Times New Roman"/>
          <w:sz w:val="28"/>
          <w:szCs w:val="28"/>
        </w:rPr>
        <w:t xml:space="preserve"> –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РНП</w:t>
      </w:r>
      <w:r w:rsidRPr="00C56334">
        <w:rPr>
          <w:rFonts w:ascii="Times New Roman" w:hAnsi="Times New Roman" w:cs="Times New Roman"/>
          <w:sz w:val="28"/>
          <w:szCs w:val="28"/>
          <w:vertAlign w:val="subscript"/>
        </w:rPr>
        <w:t>2012</w:t>
      </w:r>
      <w:r w:rsidRPr="00C56334">
        <w:rPr>
          <w:rFonts w:ascii="Times New Roman" w:hAnsi="Times New Roman" w:cs="Times New Roman"/>
          <w:sz w:val="28"/>
          <w:szCs w:val="28"/>
        </w:rPr>
        <w:t xml:space="preserve"> = 6444,2/18282,7 = 0,3525</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2014 год:</w:t>
      </w:r>
      <w:r w:rsidRPr="00C56334">
        <w:rPr>
          <w:rFonts w:ascii="Times New Roman" w:hAnsi="Times New Roman" w:cs="Times New Roman"/>
          <w:sz w:val="28"/>
          <w:szCs w:val="28"/>
        </w:rPr>
        <w:t xml:space="preserve"> 16024,8 (1+0,2336*1,2) = 20516,3 млн. руб.</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2014</w:t>
      </w:r>
      <w:r w:rsidRPr="00C56334">
        <w:rPr>
          <w:rFonts w:ascii="Times New Roman" w:hAnsi="Times New Roman" w:cs="Times New Roman"/>
          <w:sz w:val="28"/>
          <w:szCs w:val="28"/>
        </w:rPr>
        <w:t xml:space="preserve"> = 5775,4/24726,9 = 0,2336</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2015 год:</w:t>
      </w:r>
      <w:r w:rsidRPr="00C56334">
        <w:rPr>
          <w:rFonts w:ascii="Times New Roman" w:hAnsi="Times New Roman" w:cs="Times New Roman"/>
          <w:sz w:val="28"/>
          <w:szCs w:val="28"/>
        </w:rPr>
        <w:t xml:space="preserve"> 20516,3 (1+ 0,1197*1,2</w:t>
      </w:r>
      <w:proofErr w:type="gramStart"/>
      <w:r w:rsidRPr="00C56334">
        <w:rPr>
          <w:rFonts w:ascii="Times New Roman" w:hAnsi="Times New Roman" w:cs="Times New Roman"/>
          <w:sz w:val="28"/>
          <w:szCs w:val="28"/>
        </w:rPr>
        <w:t xml:space="preserve"> )</w:t>
      </w:r>
      <w:proofErr w:type="gramEnd"/>
      <w:r w:rsidRPr="00C56334">
        <w:rPr>
          <w:rFonts w:ascii="Times New Roman" w:hAnsi="Times New Roman" w:cs="Times New Roman"/>
          <w:sz w:val="28"/>
          <w:szCs w:val="28"/>
        </w:rPr>
        <w:t xml:space="preserve"> =23463,0 млн. руб.</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2015</w:t>
      </w:r>
      <w:r w:rsidRPr="00C56334">
        <w:rPr>
          <w:rFonts w:ascii="Times New Roman" w:hAnsi="Times New Roman" w:cs="Times New Roman"/>
          <w:sz w:val="28"/>
          <w:szCs w:val="28"/>
        </w:rPr>
        <w:t xml:space="preserve"> = 3650,8/30502,3 = 0,1197</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 xml:space="preserve">2016 год: </w:t>
      </w:r>
      <w:r w:rsidRPr="00C56334">
        <w:rPr>
          <w:rFonts w:ascii="Times New Roman" w:hAnsi="Times New Roman" w:cs="Times New Roman"/>
          <w:sz w:val="28"/>
          <w:szCs w:val="28"/>
        </w:rPr>
        <w:t>23463,0 (1+ 0,1116 *1,2) =26603,7 млн. руб.</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2016</w:t>
      </w:r>
      <w:r w:rsidRPr="00C56334">
        <w:rPr>
          <w:rFonts w:ascii="Times New Roman" w:hAnsi="Times New Roman" w:cs="Times New Roman"/>
          <w:sz w:val="28"/>
          <w:szCs w:val="28"/>
        </w:rPr>
        <w:t xml:space="preserve"> = 3809,7/34153,1 = 0,1116</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2017 год:</w:t>
      </w:r>
      <w:r w:rsidRPr="00C56334">
        <w:rPr>
          <w:rFonts w:ascii="Times New Roman" w:hAnsi="Times New Roman" w:cs="Times New Roman"/>
          <w:sz w:val="28"/>
          <w:szCs w:val="28"/>
        </w:rPr>
        <w:t xml:space="preserve"> 26603,7(1+ 0,116 *1,2) = 30135,0 млн. руб.</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2017</w:t>
      </w:r>
      <w:r w:rsidRPr="00C56334">
        <w:rPr>
          <w:rFonts w:ascii="Times New Roman" w:hAnsi="Times New Roman" w:cs="Times New Roman"/>
          <w:sz w:val="28"/>
          <w:szCs w:val="28"/>
        </w:rPr>
        <w:t xml:space="preserve"> = 4199,2 /37962,8 = 0,1106</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2018 год:</w:t>
      </w:r>
      <w:r w:rsidRPr="00C56334">
        <w:rPr>
          <w:rFonts w:ascii="Times New Roman" w:hAnsi="Times New Roman" w:cs="Times New Roman"/>
          <w:sz w:val="28"/>
          <w:szCs w:val="28"/>
        </w:rPr>
        <w:t xml:space="preserve"> 30135,0(1+  0,1018*1,2) = 33814,6 млн. руб.</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2018</w:t>
      </w:r>
      <w:r w:rsidRPr="00C56334">
        <w:rPr>
          <w:rFonts w:ascii="Times New Roman" w:hAnsi="Times New Roman" w:cs="Times New Roman"/>
          <w:sz w:val="28"/>
          <w:szCs w:val="28"/>
        </w:rPr>
        <w:t xml:space="preserve"> = 4290,1/42162,0 = 0,1018</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2019 год:</w:t>
      </w:r>
      <w:r w:rsidRPr="00C56334">
        <w:rPr>
          <w:rFonts w:ascii="Times New Roman" w:hAnsi="Times New Roman" w:cs="Times New Roman"/>
          <w:sz w:val="28"/>
          <w:szCs w:val="28"/>
        </w:rPr>
        <w:t xml:space="preserve"> 33814,6 (1+ 0,0948*1,2) = 37661,3 млн. руб.</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2019</w:t>
      </w:r>
      <w:r w:rsidRPr="00C56334">
        <w:rPr>
          <w:rFonts w:ascii="Times New Roman" w:hAnsi="Times New Roman" w:cs="Times New Roman"/>
          <w:sz w:val="28"/>
          <w:szCs w:val="28"/>
        </w:rPr>
        <w:t xml:space="preserve"> = 4403,6/46452,1 =0,0948</w:t>
      </w:r>
    </w:p>
    <w:p w:rsidR="008D5D14" w:rsidRPr="00C56334" w:rsidRDefault="008D5D14" w:rsidP="008D5D14">
      <w:pPr>
        <w:jc w:val="both"/>
        <w:rPr>
          <w:rFonts w:ascii="Times New Roman" w:hAnsi="Times New Roman" w:cs="Times New Roman"/>
          <w:sz w:val="28"/>
          <w:szCs w:val="28"/>
        </w:rPr>
      </w:pPr>
      <w:r w:rsidRPr="00C56334">
        <w:rPr>
          <w:rFonts w:ascii="Times New Roman" w:hAnsi="Times New Roman" w:cs="Times New Roman"/>
          <w:b/>
          <w:sz w:val="28"/>
          <w:szCs w:val="28"/>
        </w:rPr>
        <w:t>2020 год:</w:t>
      </w:r>
      <w:r w:rsidRPr="00C56334">
        <w:rPr>
          <w:rFonts w:ascii="Times New Roman" w:hAnsi="Times New Roman" w:cs="Times New Roman"/>
          <w:sz w:val="28"/>
          <w:szCs w:val="28"/>
        </w:rPr>
        <w:t xml:space="preserve"> 37661,3 (1+ 0,0868*1,2) = 41584,7 млн. руб.</w:t>
      </w:r>
    </w:p>
    <w:p w:rsidR="008D5D14" w:rsidRDefault="008D5D14" w:rsidP="008D5D14">
      <w:pPr>
        <w:jc w:val="both"/>
        <w:rPr>
          <w:rFonts w:ascii="Times New Roman" w:hAnsi="Times New Roman" w:cs="Times New Roman"/>
          <w:sz w:val="28"/>
          <w:szCs w:val="28"/>
        </w:rPr>
      </w:pPr>
      <w:r w:rsidRPr="00C56334">
        <w:rPr>
          <w:rFonts w:ascii="Times New Roman" w:hAnsi="Times New Roman" w:cs="Times New Roman"/>
          <w:sz w:val="28"/>
          <w:szCs w:val="28"/>
        </w:rPr>
        <w:t>Прирост РНП</w:t>
      </w:r>
      <w:r w:rsidRPr="00C56334">
        <w:rPr>
          <w:rFonts w:ascii="Times New Roman" w:hAnsi="Times New Roman" w:cs="Times New Roman"/>
          <w:sz w:val="28"/>
          <w:szCs w:val="28"/>
          <w:vertAlign w:val="subscript"/>
        </w:rPr>
        <w:t>2020</w:t>
      </w:r>
      <w:r w:rsidRPr="00C56334">
        <w:rPr>
          <w:rFonts w:ascii="Times New Roman" w:hAnsi="Times New Roman" w:cs="Times New Roman"/>
          <w:sz w:val="28"/>
          <w:szCs w:val="28"/>
        </w:rPr>
        <w:t xml:space="preserve"> = 4414,9/50855,7 = 0,0868</w:t>
      </w:r>
    </w:p>
    <w:p w:rsidR="005974D4" w:rsidRPr="00C56334" w:rsidRDefault="005974D4" w:rsidP="008D5D14">
      <w:pPr>
        <w:jc w:val="both"/>
        <w:rPr>
          <w:rFonts w:ascii="Times New Roman" w:hAnsi="Times New Roman" w:cs="Times New Roman"/>
          <w:sz w:val="28"/>
          <w:szCs w:val="28"/>
        </w:rPr>
      </w:pPr>
    </w:p>
    <w:tbl>
      <w:tblPr>
        <w:tblStyle w:val="a9"/>
        <w:tblW w:w="10349" w:type="dxa"/>
        <w:tblInd w:w="-459" w:type="dxa"/>
        <w:tblLayout w:type="fixed"/>
        <w:tblLook w:val="04A0" w:firstRow="1" w:lastRow="0" w:firstColumn="1" w:lastColumn="0" w:noHBand="0" w:noVBand="1"/>
      </w:tblPr>
      <w:tblGrid>
        <w:gridCol w:w="1560"/>
        <w:gridCol w:w="990"/>
        <w:gridCol w:w="992"/>
        <w:gridCol w:w="992"/>
        <w:gridCol w:w="993"/>
        <w:gridCol w:w="992"/>
        <w:gridCol w:w="992"/>
        <w:gridCol w:w="885"/>
        <w:gridCol w:w="992"/>
        <w:gridCol w:w="961"/>
      </w:tblGrid>
      <w:tr w:rsidR="008D5D14" w:rsidRPr="00B14A96" w:rsidTr="002F797C">
        <w:trPr>
          <w:trHeight w:val="71"/>
        </w:trPr>
        <w:tc>
          <w:tcPr>
            <w:tcW w:w="1560" w:type="dxa"/>
            <w:vMerge w:val="restart"/>
            <w:tcBorders>
              <w:top w:val="single" w:sz="4" w:space="0" w:color="auto"/>
              <w:left w:val="single" w:sz="4" w:space="0" w:color="auto"/>
              <w:bottom w:val="single" w:sz="4" w:space="0" w:color="auto"/>
              <w:right w:val="single" w:sz="4" w:space="0" w:color="auto"/>
            </w:tcBorders>
            <w:hideMark/>
          </w:tcPr>
          <w:p w:rsidR="008D5D14" w:rsidRPr="00B14A96" w:rsidRDefault="008D5D14" w:rsidP="008D5D14">
            <w:pPr>
              <w:jc w:val="center"/>
              <w:rPr>
                <w:rFonts w:ascii="Times New Roman" w:hAnsi="Times New Roman" w:cs="Times New Roman"/>
                <w:b/>
                <w:sz w:val="20"/>
              </w:rPr>
            </w:pPr>
            <w:r w:rsidRPr="00B14A96">
              <w:rPr>
                <w:rFonts w:ascii="Times New Roman" w:hAnsi="Times New Roman" w:cs="Times New Roman"/>
                <w:b/>
                <w:sz w:val="20"/>
              </w:rPr>
              <w:t>Наименование</w:t>
            </w:r>
          </w:p>
        </w:tc>
        <w:tc>
          <w:tcPr>
            <w:tcW w:w="990" w:type="dxa"/>
            <w:vMerge w:val="restart"/>
            <w:tcBorders>
              <w:top w:val="single" w:sz="4" w:space="0" w:color="auto"/>
              <w:left w:val="single" w:sz="4" w:space="0" w:color="auto"/>
              <w:bottom w:val="single" w:sz="4" w:space="0" w:color="auto"/>
              <w:right w:val="single" w:sz="4" w:space="0" w:color="auto"/>
            </w:tcBorders>
            <w:hideMark/>
          </w:tcPr>
          <w:p w:rsidR="008D5D14" w:rsidRPr="00B14A96" w:rsidRDefault="008D5D14" w:rsidP="008D5D14">
            <w:pPr>
              <w:jc w:val="center"/>
              <w:rPr>
                <w:rFonts w:ascii="Times New Roman" w:hAnsi="Times New Roman" w:cs="Times New Roman"/>
                <w:b/>
                <w:sz w:val="20"/>
              </w:rPr>
            </w:pPr>
            <w:r w:rsidRPr="00B14A96">
              <w:rPr>
                <w:rFonts w:ascii="Times New Roman" w:hAnsi="Times New Roman" w:cs="Times New Roman"/>
                <w:b/>
                <w:sz w:val="20"/>
              </w:rPr>
              <w:t>2012</w:t>
            </w:r>
          </w:p>
          <w:p w:rsidR="008D5D14" w:rsidRPr="00B14A96" w:rsidRDefault="008D5D14" w:rsidP="008D5D14">
            <w:pPr>
              <w:jc w:val="center"/>
              <w:rPr>
                <w:rFonts w:ascii="Times New Roman" w:hAnsi="Times New Roman" w:cs="Times New Roman"/>
                <w:b/>
                <w:sz w:val="20"/>
              </w:rPr>
            </w:pPr>
            <w:r w:rsidRPr="00B14A96">
              <w:rPr>
                <w:rFonts w:ascii="Times New Roman" w:hAnsi="Times New Roman" w:cs="Times New Roman"/>
                <w:b/>
                <w:sz w:val="20"/>
              </w:rPr>
              <w:t>факт.</w:t>
            </w:r>
          </w:p>
        </w:tc>
        <w:tc>
          <w:tcPr>
            <w:tcW w:w="7799" w:type="dxa"/>
            <w:gridSpan w:val="8"/>
            <w:tcBorders>
              <w:top w:val="single" w:sz="4" w:space="0" w:color="auto"/>
              <w:left w:val="single" w:sz="4" w:space="0" w:color="auto"/>
              <w:bottom w:val="single" w:sz="4" w:space="0" w:color="auto"/>
              <w:right w:val="single" w:sz="4" w:space="0" w:color="auto"/>
            </w:tcBorders>
            <w:hideMark/>
          </w:tcPr>
          <w:p w:rsidR="008D5D14" w:rsidRPr="00B14A96" w:rsidRDefault="008D5D14" w:rsidP="008D5D14">
            <w:pPr>
              <w:jc w:val="center"/>
              <w:rPr>
                <w:rFonts w:ascii="Times New Roman" w:hAnsi="Times New Roman" w:cs="Times New Roman"/>
                <w:b/>
                <w:sz w:val="20"/>
              </w:rPr>
            </w:pPr>
            <w:r w:rsidRPr="00B14A96">
              <w:rPr>
                <w:rFonts w:ascii="Times New Roman" w:hAnsi="Times New Roman" w:cs="Times New Roman"/>
                <w:b/>
                <w:sz w:val="20"/>
              </w:rPr>
              <w:t>Прогноз</w:t>
            </w:r>
          </w:p>
        </w:tc>
      </w:tr>
      <w:tr w:rsidR="008D5D14" w:rsidTr="002F797C">
        <w:trPr>
          <w:trHeight w:val="295"/>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8D5D14" w:rsidRDefault="008D5D14" w:rsidP="008D5D14">
            <w:pPr>
              <w:rPr>
                <w:rFonts w:ascii="Times New Roman" w:hAnsi="Times New Roman" w:cs="Times New Roman"/>
                <w:sz w:val="20"/>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8D5D14" w:rsidRDefault="008D5D14" w:rsidP="008D5D14">
            <w:pPr>
              <w:rPr>
                <w:rFonts w:ascii="Times New Roman" w:hAnsi="Times New Roman" w:cs="Times New Roman"/>
                <w:sz w:val="20"/>
              </w:rPr>
            </w:pPr>
          </w:p>
        </w:tc>
        <w:tc>
          <w:tcPr>
            <w:tcW w:w="992" w:type="dxa"/>
            <w:tcBorders>
              <w:top w:val="single" w:sz="4" w:space="0" w:color="auto"/>
              <w:left w:val="single" w:sz="4" w:space="0" w:color="auto"/>
              <w:bottom w:val="single" w:sz="4" w:space="0" w:color="auto"/>
              <w:right w:val="single" w:sz="4" w:space="0" w:color="auto"/>
            </w:tcBorders>
          </w:tcPr>
          <w:p w:rsidR="008D5D14" w:rsidRDefault="005974D4" w:rsidP="008D5D14">
            <w:pPr>
              <w:jc w:val="center"/>
              <w:rPr>
                <w:rFonts w:ascii="Times New Roman" w:hAnsi="Times New Roman" w:cs="Times New Roman"/>
                <w:sz w:val="20"/>
              </w:rPr>
            </w:pPr>
            <w:r>
              <w:rPr>
                <w:rFonts w:ascii="Times New Roman" w:hAnsi="Times New Roman" w:cs="Times New Roman"/>
                <w:sz w:val="20"/>
              </w:rPr>
              <w:t>2013</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2014</w:t>
            </w:r>
          </w:p>
        </w:tc>
        <w:tc>
          <w:tcPr>
            <w:tcW w:w="993"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2015</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2016</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2017</w:t>
            </w:r>
          </w:p>
        </w:tc>
        <w:tc>
          <w:tcPr>
            <w:tcW w:w="88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2018</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2019</w:t>
            </w:r>
          </w:p>
        </w:tc>
        <w:tc>
          <w:tcPr>
            <w:tcW w:w="961"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2020</w:t>
            </w:r>
          </w:p>
        </w:tc>
      </w:tr>
      <w:tr w:rsidR="008D5D14" w:rsidTr="002F797C">
        <w:trPr>
          <w:trHeight w:val="342"/>
        </w:trPr>
        <w:tc>
          <w:tcPr>
            <w:tcW w:w="1560" w:type="dxa"/>
            <w:tcBorders>
              <w:top w:val="single" w:sz="4" w:space="0" w:color="auto"/>
              <w:left w:val="single" w:sz="4" w:space="0" w:color="auto"/>
              <w:bottom w:val="single" w:sz="4" w:space="0" w:color="auto"/>
              <w:right w:val="single" w:sz="4" w:space="0" w:color="auto"/>
            </w:tcBorders>
            <w:hideMark/>
          </w:tcPr>
          <w:p w:rsidR="008D5D14" w:rsidRDefault="008D5D14" w:rsidP="005974D4">
            <w:pPr>
              <w:rPr>
                <w:rFonts w:ascii="Times New Roman" w:hAnsi="Times New Roman" w:cs="Times New Roman"/>
                <w:sz w:val="20"/>
              </w:rPr>
            </w:pPr>
            <w:r>
              <w:rPr>
                <w:rFonts w:ascii="Times New Roman" w:hAnsi="Times New Roman" w:cs="Times New Roman"/>
                <w:sz w:val="20"/>
              </w:rPr>
              <w:t>Инвестиции, всего</w:t>
            </w:r>
          </w:p>
          <w:p w:rsidR="008D5D14" w:rsidRDefault="008D5D14" w:rsidP="005974D4">
            <w:pPr>
              <w:rPr>
                <w:rFonts w:ascii="Times New Roman" w:hAnsi="Times New Roman" w:cs="Times New Roman"/>
                <w:sz w:val="20"/>
              </w:rPr>
            </w:pPr>
            <w:r>
              <w:rPr>
                <w:rFonts w:ascii="Times New Roman" w:hAnsi="Times New Roman" w:cs="Times New Roman"/>
                <w:sz w:val="20"/>
              </w:rPr>
              <w:t xml:space="preserve">млн. руб. </w:t>
            </w:r>
          </w:p>
        </w:tc>
        <w:tc>
          <w:tcPr>
            <w:tcW w:w="990"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b/>
                <w:sz w:val="20"/>
              </w:rPr>
            </w:pPr>
            <w:r>
              <w:rPr>
                <w:rFonts w:ascii="Times New Roman" w:hAnsi="Times New Roman" w:cs="Times New Roman"/>
                <w:b/>
                <w:sz w:val="20"/>
              </w:rPr>
              <w:t>Х</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20685,9</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18539,0</w:t>
            </w:r>
          </w:p>
        </w:tc>
        <w:tc>
          <w:tcPr>
            <w:tcW w:w="993"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11714,9</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12229,8</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13479,5</w:t>
            </w:r>
          </w:p>
        </w:tc>
        <w:tc>
          <w:tcPr>
            <w:tcW w:w="885"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13771,2</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14135,5</w:t>
            </w:r>
          </w:p>
        </w:tc>
        <w:tc>
          <w:tcPr>
            <w:tcW w:w="961"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b/>
                <w:sz w:val="20"/>
              </w:rPr>
            </w:pPr>
            <w:r>
              <w:rPr>
                <w:rFonts w:ascii="Times New Roman" w:hAnsi="Times New Roman" w:cs="Times New Roman"/>
                <w:b/>
                <w:sz w:val="20"/>
              </w:rPr>
              <w:t>14171,8</w:t>
            </w:r>
          </w:p>
        </w:tc>
      </w:tr>
      <w:tr w:rsidR="008D5D14" w:rsidTr="002F797C">
        <w:tc>
          <w:tcPr>
            <w:tcW w:w="1560"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sz w:val="20"/>
              </w:rPr>
            </w:pPr>
            <w:r>
              <w:rPr>
                <w:rFonts w:ascii="Times New Roman" w:hAnsi="Times New Roman" w:cs="Times New Roman"/>
                <w:sz w:val="20"/>
              </w:rPr>
              <w:t>Прирост налогового потенциала ЧР, млн. руб.</w:t>
            </w:r>
          </w:p>
        </w:tc>
        <w:tc>
          <w:tcPr>
            <w:tcW w:w="990"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Х</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6444,2</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5775,4</w:t>
            </w:r>
          </w:p>
        </w:tc>
        <w:tc>
          <w:tcPr>
            <w:tcW w:w="993"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3650,8</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3809,7</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4199,2</w:t>
            </w:r>
          </w:p>
        </w:tc>
        <w:tc>
          <w:tcPr>
            <w:tcW w:w="88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4290,1</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4403,6</w:t>
            </w:r>
          </w:p>
        </w:tc>
        <w:tc>
          <w:tcPr>
            <w:tcW w:w="961"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4414,9</w:t>
            </w:r>
          </w:p>
        </w:tc>
      </w:tr>
      <w:tr w:rsidR="008D5D14" w:rsidTr="002F797C">
        <w:tc>
          <w:tcPr>
            <w:tcW w:w="1560"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sz w:val="20"/>
              </w:rPr>
            </w:pPr>
            <w:r>
              <w:rPr>
                <w:rFonts w:ascii="Times New Roman" w:hAnsi="Times New Roman" w:cs="Times New Roman"/>
                <w:sz w:val="20"/>
              </w:rPr>
              <w:t>Налоговый потенциал ЧР,    млн. руб.</w:t>
            </w:r>
          </w:p>
        </w:tc>
        <w:tc>
          <w:tcPr>
            <w:tcW w:w="990"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color w:val="000000"/>
                <w:sz w:val="20"/>
                <w:szCs w:val="24"/>
              </w:rPr>
              <w:t>18282,7</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24726,9</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30502,3</w:t>
            </w:r>
          </w:p>
        </w:tc>
        <w:tc>
          <w:tcPr>
            <w:tcW w:w="993"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34153,1</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37962,8</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42162,0</w:t>
            </w:r>
          </w:p>
        </w:tc>
        <w:tc>
          <w:tcPr>
            <w:tcW w:w="885"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46452,1</w:t>
            </w:r>
          </w:p>
        </w:tc>
        <w:tc>
          <w:tcPr>
            <w:tcW w:w="992"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50855,7</w:t>
            </w:r>
          </w:p>
        </w:tc>
        <w:tc>
          <w:tcPr>
            <w:tcW w:w="961"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rFonts w:ascii="Times New Roman" w:hAnsi="Times New Roman" w:cs="Times New Roman"/>
                <w:sz w:val="20"/>
              </w:rPr>
              <w:t>55270,6</w:t>
            </w:r>
          </w:p>
        </w:tc>
      </w:tr>
      <w:tr w:rsidR="008D5D14" w:rsidTr="002F797C">
        <w:tc>
          <w:tcPr>
            <w:tcW w:w="1560" w:type="dxa"/>
            <w:tcBorders>
              <w:top w:val="single" w:sz="4" w:space="0" w:color="auto"/>
              <w:left w:val="single" w:sz="4" w:space="0" w:color="auto"/>
              <w:bottom w:val="single" w:sz="4" w:space="0" w:color="auto"/>
              <w:right w:val="single" w:sz="4" w:space="0" w:color="auto"/>
            </w:tcBorders>
            <w:hideMark/>
          </w:tcPr>
          <w:p w:rsidR="008D5D14" w:rsidRDefault="008D5D14" w:rsidP="008D5D14">
            <w:pPr>
              <w:rPr>
                <w:rFonts w:ascii="Times New Roman" w:hAnsi="Times New Roman" w:cs="Times New Roman"/>
                <w:sz w:val="20"/>
              </w:rPr>
            </w:pPr>
            <w:r>
              <w:rPr>
                <w:rFonts w:ascii="Times New Roman" w:hAnsi="Times New Roman" w:cs="Times New Roman"/>
                <w:sz w:val="20"/>
              </w:rPr>
              <w:t>Налоговые доходы  консолидированного бюджета ЧР, млн. руб.</w:t>
            </w:r>
          </w:p>
        </w:tc>
        <w:tc>
          <w:tcPr>
            <w:tcW w:w="990" w:type="dxa"/>
            <w:tcBorders>
              <w:top w:val="single" w:sz="4" w:space="0" w:color="auto"/>
              <w:left w:val="single" w:sz="4" w:space="0" w:color="auto"/>
              <w:bottom w:val="single" w:sz="4" w:space="0" w:color="auto"/>
              <w:right w:val="single" w:sz="4" w:space="0" w:color="auto"/>
            </w:tcBorders>
            <w:hideMark/>
          </w:tcPr>
          <w:p w:rsidR="008D5D14" w:rsidRDefault="008D5D14" w:rsidP="008D5D14">
            <w:pPr>
              <w:jc w:val="center"/>
              <w:rPr>
                <w:rFonts w:ascii="Times New Roman" w:hAnsi="Times New Roman" w:cs="Times New Roman"/>
                <w:sz w:val="20"/>
              </w:rPr>
            </w:pPr>
            <w:r>
              <w:rPr>
                <w:sz w:val="20"/>
              </w:rPr>
              <w:t>11261,3</w:t>
            </w:r>
          </w:p>
        </w:tc>
        <w:tc>
          <w:tcPr>
            <w:tcW w:w="992"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rPr>
              <w:t>16024,8</w:t>
            </w:r>
          </w:p>
        </w:tc>
        <w:tc>
          <w:tcPr>
            <w:tcW w:w="992"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rPr>
              <w:t>20516,3</w:t>
            </w:r>
          </w:p>
        </w:tc>
        <w:tc>
          <w:tcPr>
            <w:tcW w:w="993"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rPr>
              <w:t>23463,0</w:t>
            </w:r>
          </w:p>
        </w:tc>
        <w:tc>
          <w:tcPr>
            <w:tcW w:w="992"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t>26603,7</w:t>
            </w:r>
          </w:p>
        </w:tc>
        <w:tc>
          <w:tcPr>
            <w:tcW w:w="992"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rPr>
              <w:t>30135,0</w:t>
            </w:r>
          </w:p>
        </w:tc>
        <w:tc>
          <w:tcPr>
            <w:tcW w:w="885"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lang w:val="en-US"/>
              </w:rPr>
              <w:t>33814,6</w:t>
            </w:r>
          </w:p>
        </w:tc>
        <w:tc>
          <w:tcPr>
            <w:tcW w:w="992"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lang w:val="en-US"/>
              </w:rPr>
              <w:t>37661,3</w:t>
            </w:r>
          </w:p>
        </w:tc>
        <w:tc>
          <w:tcPr>
            <w:tcW w:w="961" w:type="dxa"/>
            <w:tcBorders>
              <w:top w:val="single" w:sz="4" w:space="0" w:color="auto"/>
              <w:left w:val="single" w:sz="4" w:space="0" w:color="auto"/>
              <w:bottom w:val="single" w:sz="4" w:space="0" w:color="auto"/>
              <w:right w:val="single" w:sz="4" w:space="0" w:color="auto"/>
            </w:tcBorders>
          </w:tcPr>
          <w:p w:rsidR="008D5D14" w:rsidRDefault="008D5D14" w:rsidP="008D5D14">
            <w:pPr>
              <w:jc w:val="center"/>
              <w:rPr>
                <w:rFonts w:ascii="Times New Roman" w:hAnsi="Times New Roman" w:cs="Times New Roman"/>
                <w:sz w:val="20"/>
              </w:rPr>
            </w:pPr>
            <w:r>
              <w:rPr>
                <w:rFonts w:ascii="Times New Roman" w:hAnsi="Times New Roman" w:cs="Times New Roman"/>
                <w:sz w:val="20"/>
              </w:rPr>
              <w:t>41584,7</w:t>
            </w:r>
          </w:p>
        </w:tc>
      </w:tr>
    </w:tbl>
    <w:p w:rsidR="008D5D14" w:rsidRPr="002F797C" w:rsidRDefault="008D5D14" w:rsidP="008D5D14">
      <w:pPr>
        <w:jc w:val="right"/>
        <w:rPr>
          <w:rFonts w:ascii="Times New Roman" w:hAnsi="Times New Roman" w:cs="Times New Roman"/>
          <w:b/>
          <w:sz w:val="28"/>
          <w:szCs w:val="28"/>
        </w:rPr>
      </w:pPr>
      <w:r w:rsidRPr="002F797C">
        <w:rPr>
          <w:rFonts w:ascii="Times New Roman" w:hAnsi="Times New Roman" w:cs="Times New Roman"/>
          <w:b/>
          <w:sz w:val="28"/>
          <w:szCs w:val="28"/>
        </w:rPr>
        <w:lastRenderedPageBreak/>
        <w:t>Приложение 5</w:t>
      </w:r>
    </w:p>
    <w:p w:rsidR="008D5D14" w:rsidRPr="002F797C" w:rsidRDefault="008D5D14" w:rsidP="008D5D14">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направлений развития налогового потенциала ЧР в среднесрочной перспективе</w:t>
      </w:r>
    </w:p>
    <w:p w:rsidR="008D5D14" w:rsidRDefault="008D5D14" w:rsidP="008D5D14">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31425B9E" wp14:editId="59C19A5B">
            <wp:extent cx="5936440" cy="2864768"/>
            <wp:effectExtent l="0" t="0" r="7620" b="0"/>
            <wp:docPr id="41" name="Рисунок 41" descr="C:\Users\USER\Desktop\МАИТАБЛИЦЫПАПА\РНП Ч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МАИТАБЛИЦЫПАПА\РНП ЧР.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0425" cy="2866691"/>
                    </a:xfrm>
                    <a:prstGeom prst="rect">
                      <a:avLst/>
                    </a:prstGeom>
                    <a:noFill/>
                    <a:ln>
                      <a:noFill/>
                    </a:ln>
                  </pic:spPr>
                </pic:pic>
              </a:graphicData>
            </a:graphic>
          </wp:inline>
        </w:drawing>
      </w:r>
    </w:p>
    <w:p w:rsidR="005974D4" w:rsidRDefault="005974D4" w:rsidP="008D5D14">
      <w:pPr>
        <w:jc w:val="right"/>
        <w:rPr>
          <w:rFonts w:ascii="Times New Roman" w:hAnsi="Times New Roman" w:cs="Times New Roman"/>
          <w:b/>
          <w:sz w:val="24"/>
        </w:rPr>
      </w:pPr>
    </w:p>
    <w:p w:rsidR="008D5D14" w:rsidRPr="002F797C" w:rsidRDefault="008D5D14" w:rsidP="008D5D14">
      <w:pPr>
        <w:jc w:val="right"/>
        <w:rPr>
          <w:rFonts w:ascii="Times New Roman" w:hAnsi="Times New Roman" w:cs="Times New Roman"/>
          <w:b/>
          <w:sz w:val="28"/>
          <w:szCs w:val="28"/>
        </w:rPr>
      </w:pPr>
      <w:r w:rsidRPr="002F797C">
        <w:rPr>
          <w:rFonts w:ascii="Times New Roman" w:hAnsi="Times New Roman" w:cs="Times New Roman"/>
          <w:b/>
          <w:sz w:val="28"/>
          <w:szCs w:val="28"/>
        </w:rPr>
        <w:t>Приложение 6</w:t>
      </w:r>
    </w:p>
    <w:p w:rsidR="008D5D14" w:rsidRPr="002F797C" w:rsidRDefault="008D5D14" w:rsidP="008D5D14">
      <w:pPr>
        <w:jc w:val="center"/>
        <w:rPr>
          <w:rFonts w:ascii="Times New Roman" w:hAnsi="Times New Roman" w:cs="Times New Roman"/>
          <w:b/>
          <w:sz w:val="28"/>
          <w:szCs w:val="28"/>
        </w:rPr>
      </w:pPr>
      <w:r w:rsidRPr="002F797C">
        <w:rPr>
          <w:rFonts w:ascii="Times New Roman" w:hAnsi="Times New Roman" w:cs="Times New Roman"/>
          <w:b/>
          <w:sz w:val="28"/>
          <w:szCs w:val="28"/>
        </w:rPr>
        <w:t xml:space="preserve">Оценка приоритета рекомендаций в отношении </w:t>
      </w:r>
      <w:proofErr w:type="gramStart"/>
      <w:r w:rsidRPr="002F797C">
        <w:rPr>
          <w:rFonts w:ascii="Times New Roman" w:hAnsi="Times New Roman" w:cs="Times New Roman"/>
          <w:b/>
          <w:sz w:val="28"/>
          <w:szCs w:val="28"/>
        </w:rPr>
        <w:t>налоговой</w:t>
      </w:r>
      <w:proofErr w:type="gramEnd"/>
      <w:r w:rsidRPr="002F797C">
        <w:rPr>
          <w:rFonts w:ascii="Times New Roman" w:hAnsi="Times New Roman" w:cs="Times New Roman"/>
          <w:b/>
          <w:sz w:val="28"/>
          <w:szCs w:val="28"/>
        </w:rPr>
        <w:t xml:space="preserve"> база по налогу на прибыль</w:t>
      </w:r>
    </w:p>
    <w:p w:rsidR="008D5D14" w:rsidRDefault="008D5D14" w:rsidP="008D5D14">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734B8CB7" wp14:editId="34624BC2">
            <wp:extent cx="5933872" cy="3336587"/>
            <wp:effectExtent l="0" t="0" r="0" b="0"/>
            <wp:docPr id="42" name="Рисунок 42" descr="C:\Users\USER\Desktop\МАИТАБЛИЦЫПАПА\НБПРИБЫ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МАИТАБЛИЦЫПАПА\НБПРИБЫЛИ.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0425" cy="3340272"/>
                    </a:xfrm>
                    <a:prstGeom prst="rect">
                      <a:avLst/>
                    </a:prstGeom>
                    <a:noFill/>
                    <a:ln>
                      <a:noFill/>
                    </a:ln>
                  </pic:spPr>
                </pic:pic>
              </a:graphicData>
            </a:graphic>
          </wp:inline>
        </w:drawing>
      </w:r>
    </w:p>
    <w:p w:rsidR="008D5D14" w:rsidRDefault="008D5D14" w:rsidP="008D5D14">
      <w:pPr>
        <w:rPr>
          <w:rFonts w:ascii="Times New Roman" w:hAnsi="Times New Roman" w:cs="Times New Roman"/>
          <w:b/>
          <w:sz w:val="24"/>
        </w:rPr>
      </w:pPr>
    </w:p>
    <w:p w:rsidR="008D5D14" w:rsidRPr="002F797C" w:rsidRDefault="008D5D14" w:rsidP="008D5D14">
      <w:pPr>
        <w:jc w:val="right"/>
        <w:rPr>
          <w:rFonts w:ascii="Times New Roman" w:hAnsi="Times New Roman" w:cs="Times New Roman"/>
          <w:b/>
          <w:sz w:val="28"/>
          <w:szCs w:val="28"/>
        </w:rPr>
      </w:pPr>
      <w:r w:rsidRPr="002F797C">
        <w:rPr>
          <w:rFonts w:ascii="Times New Roman" w:hAnsi="Times New Roman" w:cs="Times New Roman"/>
          <w:b/>
          <w:sz w:val="28"/>
          <w:szCs w:val="28"/>
        </w:rPr>
        <w:lastRenderedPageBreak/>
        <w:t>Приложение 7</w:t>
      </w:r>
    </w:p>
    <w:p w:rsidR="008D5D14" w:rsidRPr="002F797C" w:rsidRDefault="008D5D14" w:rsidP="008D5D14">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рекомендаций  в отношении налоговой базы по налогам на доходы физических лиц</w:t>
      </w:r>
    </w:p>
    <w:p w:rsidR="008D5D14" w:rsidRDefault="008D5D14" w:rsidP="008D5D14">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3A010DF2" wp14:editId="5580C6CB">
            <wp:extent cx="5924145" cy="3044758"/>
            <wp:effectExtent l="0" t="0" r="635" b="3810"/>
            <wp:docPr id="43" name="Рисунок 43" descr="C:\Users\USER\Desktop\МАИТАБЛИЦЫПАПА\НБДОХФИЗ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МАИТАБЛИЦЫПАПА\НБДОХФИЗЛ.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0425" cy="3053125"/>
                    </a:xfrm>
                    <a:prstGeom prst="rect">
                      <a:avLst/>
                    </a:prstGeom>
                    <a:noFill/>
                    <a:ln>
                      <a:noFill/>
                    </a:ln>
                  </pic:spPr>
                </pic:pic>
              </a:graphicData>
            </a:graphic>
          </wp:inline>
        </w:drawing>
      </w:r>
    </w:p>
    <w:p w:rsidR="00A0602A" w:rsidRDefault="00A0602A" w:rsidP="008D5D14">
      <w:pPr>
        <w:jc w:val="both"/>
        <w:rPr>
          <w:rFonts w:ascii="Times New Roman" w:hAnsi="Times New Roman" w:cs="Times New Roman"/>
          <w:b/>
          <w:sz w:val="24"/>
        </w:rPr>
      </w:pPr>
    </w:p>
    <w:p w:rsidR="002F797C" w:rsidRDefault="002F797C" w:rsidP="008D5D14">
      <w:pPr>
        <w:jc w:val="both"/>
        <w:rPr>
          <w:rFonts w:ascii="Times New Roman" w:hAnsi="Times New Roman" w:cs="Times New Roman"/>
          <w:b/>
          <w:sz w:val="24"/>
        </w:rPr>
      </w:pPr>
    </w:p>
    <w:p w:rsidR="008D5D14" w:rsidRPr="002F797C" w:rsidRDefault="008D5D14" w:rsidP="008D5D14">
      <w:pPr>
        <w:jc w:val="right"/>
        <w:rPr>
          <w:rFonts w:ascii="Times New Roman" w:hAnsi="Times New Roman" w:cs="Times New Roman"/>
          <w:b/>
          <w:sz w:val="28"/>
          <w:szCs w:val="28"/>
        </w:rPr>
      </w:pPr>
      <w:r w:rsidRPr="002F797C">
        <w:rPr>
          <w:rFonts w:ascii="Times New Roman" w:hAnsi="Times New Roman" w:cs="Times New Roman"/>
          <w:b/>
          <w:sz w:val="28"/>
          <w:szCs w:val="28"/>
        </w:rPr>
        <w:t>Приложение 8</w:t>
      </w:r>
    </w:p>
    <w:p w:rsidR="008D5D14" w:rsidRPr="002F797C" w:rsidRDefault="008D5D14" w:rsidP="008D5D14">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рекомендаций в отношении налоговой базы по налогам на товары (услуг, работ), реализованных на территории РФ</w:t>
      </w:r>
    </w:p>
    <w:p w:rsidR="008D5D14" w:rsidRDefault="008D5D14" w:rsidP="008D5D14">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48573755" wp14:editId="54F28CB2">
            <wp:extent cx="5943599" cy="2733473"/>
            <wp:effectExtent l="0" t="0" r="635" b="0"/>
            <wp:docPr id="44" name="Рисунок 44" descr="C:\Users\USER\Desktop\МАИТАБЛИЦЫПАПА\НБАКЦИЗ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МАИТАБЛИЦЫПАПА\НБАКЦИЗЫ.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0425" cy="2732013"/>
                    </a:xfrm>
                    <a:prstGeom prst="rect">
                      <a:avLst/>
                    </a:prstGeom>
                    <a:noFill/>
                    <a:ln>
                      <a:noFill/>
                    </a:ln>
                  </pic:spPr>
                </pic:pic>
              </a:graphicData>
            </a:graphic>
          </wp:inline>
        </w:drawing>
      </w:r>
    </w:p>
    <w:p w:rsidR="00A0602A" w:rsidRDefault="00A0602A" w:rsidP="008D5D14">
      <w:pPr>
        <w:jc w:val="both"/>
        <w:rPr>
          <w:rFonts w:ascii="Times New Roman" w:hAnsi="Times New Roman" w:cs="Times New Roman"/>
          <w:b/>
          <w:sz w:val="24"/>
        </w:rPr>
      </w:pPr>
    </w:p>
    <w:p w:rsidR="00C56334" w:rsidRDefault="00C56334" w:rsidP="008D5D14">
      <w:pPr>
        <w:jc w:val="right"/>
        <w:rPr>
          <w:rFonts w:ascii="Times New Roman" w:hAnsi="Times New Roman" w:cs="Times New Roman"/>
          <w:b/>
          <w:sz w:val="24"/>
        </w:rPr>
      </w:pPr>
    </w:p>
    <w:p w:rsidR="008D5D14" w:rsidRPr="002F797C" w:rsidRDefault="008D5D14" w:rsidP="008D5D14">
      <w:pPr>
        <w:jc w:val="right"/>
        <w:rPr>
          <w:rFonts w:ascii="Times New Roman" w:hAnsi="Times New Roman" w:cs="Times New Roman"/>
          <w:b/>
          <w:sz w:val="28"/>
          <w:szCs w:val="28"/>
        </w:rPr>
      </w:pPr>
      <w:r w:rsidRPr="002F797C">
        <w:rPr>
          <w:rFonts w:ascii="Times New Roman" w:hAnsi="Times New Roman" w:cs="Times New Roman"/>
          <w:b/>
          <w:sz w:val="28"/>
          <w:szCs w:val="28"/>
        </w:rPr>
        <w:lastRenderedPageBreak/>
        <w:t>Приложение 9</w:t>
      </w:r>
    </w:p>
    <w:p w:rsidR="008D5D14" w:rsidRPr="002F797C" w:rsidRDefault="008D5D14" w:rsidP="008D5D14">
      <w:pPr>
        <w:jc w:val="center"/>
        <w:rPr>
          <w:rFonts w:ascii="Times New Roman" w:hAnsi="Times New Roman" w:cs="Times New Roman"/>
          <w:b/>
          <w:sz w:val="28"/>
          <w:szCs w:val="28"/>
        </w:rPr>
      </w:pPr>
      <w:r w:rsidRPr="002F797C">
        <w:rPr>
          <w:rFonts w:ascii="Times New Roman" w:hAnsi="Times New Roman" w:cs="Times New Roman"/>
          <w:b/>
          <w:sz w:val="28"/>
          <w:szCs w:val="28"/>
        </w:rPr>
        <w:t>Оценка приоритета рекомендаций в отношении налоговой базы по налогам на имущество</w:t>
      </w:r>
    </w:p>
    <w:p w:rsidR="008D5D14" w:rsidRPr="004D332C" w:rsidRDefault="008D5D14" w:rsidP="008D5D14">
      <w:pPr>
        <w:jc w:val="both"/>
        <w:rPr>
          <w:rFonts w:ascii="Times New Roman" w:hAnsi="Times New Roman" w:cs="Times New Roman"/>
          <w:b/>
          <w:sz w:val="24"/>
        </w:rPr>
      </w:pPr>
      <w:r>
        <w:rPr>
          <w:rFonts w:ascii="Times New Roman" w:hAnsi="Times New Roman" w:cs="Times New Roman"/>
          <w:b/>
          <w:noProof/>
          <w:sz w:val="24"/>
          <w:lang w:eastAsia="ru-RU"/>
        </w:rPr>
        <w:drawing>
          <wp:inline distT="0" distB="0" distL="0" distR="0" wp14:anchorId="780C7A2D" wp14:editId="11B817AC">
            <wp:extent cx="5933873" cy="2859932"/>
            <wp:effectExtent l="0" t="0" r="0" b="0"/>
            <wp:docPr id="45" name="Рисунок 45" descr="C:\Users\USER\Desktop\МАИТАБЛИЦЫПАПА\НБНАЛИМУ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МАИТАБЛИЦЫПАПА\НБНАЛИМУЩ.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0425" cy="2863090"/>
                    </a:xfrm>
                    <a:prstGeom prst="rect">
                      <a:avLst/>
                    </a:prstGeom>
                    <a:noFill/>
                    <a:ln>
                      <a:noFill/>
                    </a:ln>
                  </pic:spPr>
                </pic:pic>
              </a:graphicData>
            </a:graphic>
          </wp:inline>
        </w:drawing>
      </w:r>
    </w:p>
    <w:p w:rsidR="008D5D14" w:rsidRDefault="008D5D14">
      <w:pPr>
        <w:rPr>
          <w:rFonts w:ascii="Times New Roman" w:hAnsi="Times New Roman" w:cs="Times New Roman"/>
          <w:sz w:val="28"/>
          <w:szCs w:val="28"/>
        </w:rPr>
      </w:pPr>
      <w:r>
        <w:rPr>
          <w:rFonts w:ascii="Times New Roman" w:hAnsi="Times New Roman" w:cs="Times New Roman"/>
          <w:sz w:val="28"/>
          <w:szCs w:val="28"/>
        </w:rPr>
        <w:br w:type="page"/>
      </w:r>
    </w:p>
    <w:p w:rsidR="003249CE" w:rsidRDefault="003249CE">
      <w:pPr>
        <w:rPr>
          <w:rFonts w:ascii="Times New Roman" w:hAnsi="Times New Roman" w:cs="Times New Roman"/>
          <w:sz w:val="28"/>
          <w:szCs w:val="28"/>
        </w:rPr>
      </w:pPr>
    </w:p>
    <w:p w:rsidR="00CA02E4" w:rsidRDefault="00CA02E4">
      <w:pPr>
        <w:rPr>
          <w:rFonts w:ascii="Times New Roman" w:hAnsi="Times New Roman" w:cs="Times New Roman"/>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5F335F" w:rsidRDefault="005F335F" w:rsidP="002F61CA">
      <w:pPr>
        <w:spacing w:after="0" w:line="360" w:lineRule="auto"/>
        <w:ind w:firstLine="709"/>
        <w:jc w:val="center"/>
        <w:rPr>
          <w:rFonts w:ascii="Times New Roman" w:hAnsi="Times New Roman" w:cs="Times New Roman"/>
          <w:b/>
          <w:sz w:val="28"/>
          <w:szCs w:val="28"/>
        </w:rPr>
      </w:pPr>
    </w:p>
    <w:p w:rsidR="002F61CA" w:rsidRPr="002F61CA" w:rsidRDefault="002F61CA" w:rsidP="002F61CA">
      <w:pPr>
        <w:spacing w:after="0" w:line="360" w:lineRule="auto"/>
        <w:ind w:firstLine="709"/>
        <w:jc w:val="center"/>
        <w:rPr>
          <w:rFonts w:ascii="Times New Roman" w:hAnsi="Times New Roman" w:cs="Times New Roman"/>
          <w:b/>
          <w:sz w:val="28"/>
          <w:szCs w:val="28"/>
        </w:rPr>
      </w:pPr>
      <w:r w:rsidRPr="002F61CA">
        <w:rPr>
          <w:rFonts w:ascii="Times New Roman" w:hAnsi="Times New Roman" w:cs="Times New Roman"/>
          <w:b/>
          <w:sz w:val="28"/>
          <w:szCs w:val="28"/>
        </w:rPr>
        <w:t xml:space="preserve">СПРАВОЧНЫЕ ТАБЛИЦЫ </w:t>
      </w:r>
    </w:p>
    <w:p w:rsidR="002F61CA" w:rsidRPr="002F61CA" w:rsidRDefault="002F61CA" w:rsidP="002F61CA">
      <w:pPr>
        <w:spacing w:after="0" w:line="360" w:lineRule="auto"/>
        <w:ind w:firstLine="709"/>
        <w:jc w:val="center"/>
        <w:rPr>
          <w:rFonts w:ascii="Times New Roman" w:hAnsi="Times New Roman" w:cs="Times New Roman"/>
          <w:b/>
          <w:sz w:val="28"/>
          <w:szCs w:val="28"/>
        </w:rPr>
      </w:pPr>
      <w:r w:rsidRPr="002F61CA">
        <w:rPr>
          <w:rFonts w:ascii="Times New Roman" w:hAnsi="Times New Roman" w:cs="Times New Roman"/>
          <w:b/>
          <w:sz w:val="28"/>
          <w:szCs w:val="28"/>
        </w:rPr>
        <w:t xml:space="preserve">ПО ИСПОЛНЕНИЮ БЮДЖЕТОВ БЮДЖЕТНОЙ СИСТЕМЫ </w:t>
      </w:r>
    </w:p>
    <w:p w:rsidR="002F61CA" w:rsidRPr="002F61CA" w:rsidRDefault="002F61CA" w:rsidP="002F61CA">
      <w:pPr>
        <w:spacing w:after="0" w:line="360" w:lineRule="auto"/>
        <w:ind w:firstLine="709"/>
        <w:jc w:val="center"/>
        <w:rPr>
          <w:rFonts w:ascii="Times New Roman" w:hAnsi="Times New Roman" w:cs="Times New Roman"/>
          <w:b/>
          <w:sz w:val="28"/>
          <w:szCs w:val="28"/>
        </w:rPr>
      </w:pPr>
      <w:r w:rsidRPr="002F61CA">
        <w:rPr>
          <w:rFonts w:ascii="Times New Roman" w:hAnsi="Times New Roman" w:cs="Times New Roman"/>
          <w:b/>
          <w:sz w:val="28"/>
          <w:szCs w:val="28"/>
        </w:rPr>
        <w:t>ЧЕЧЕНСКОЙ РЕСПУБЛИКИ</w:t>
      </w:r>
    </w:p>
    <w:p w:rsidR="002F61CA" w:rsidRDefault="002F61CA" w:rsidP="002F61CA">
      <w:pPr>
        <w:spacing w:after="0" w:line="360" w:lineRule="auto"/>
        <w:ind w:firstLine="709"/>
        <w:jc w:val="center"/>
        <w:rPr>
          <w:rFonts w:ascii="Times New Roman" w:hAnsi="Times New Roman" w:cs="Times New Roman"/>
          <w:sz w:val="28"/>
          <w:szCs w:val="28"/>
        </w:rPr>
      </w:pPr>
    </w:p>
    <w:p w:rsidR="002F61CA" w:rsidRDefault="002F61CA">
      <w:pPr>
        <w:rPr>
          <w:rFonts w:ascii="Times New Roman" w:hAnsi="Times New Roman" w:cs="Times New Roman"/>
          <w:sz w:val="28"/>
          <w:szCs w:val="28"/>
        </w:rPr>
      </w:pPr>
      <w:r>
        <w:rPr>
          <w:rFonts w:ascii="Times New Roman" w:hAnsi="Times New Roman" w:cs="Times New Roman"/>
          <w:sz w:val="28"/>
          <w:szCs w:val="28"/>
        </w:rPr>
        <w:br w:type="page"/>
      </w:r>
    </w:p>
    <w:tbl>
      <w:tblPr>
        <w:tblW w:w="10349" w:type="dxa"/>
        <w:tblInd w:w="-459" w:type="dxa"/>
        <w:tblLook w:val="04A0" w:firstRow="1" w:lastRow="0" w:firstColumn="1" w:lastColumn="0" w:noHBand="0" w:noVBand="1"/>
      </w:tblPr>
      <w:tblGrid>
        <w:gridCol w:w="3119"/>
        <w:gridCol w:w="2410"/>
        <w:gridCol w:w="1277"/>
        <w:gridCol w:w="1275"/>
        <w:gridCol w:w="1276"/>
        <w:gridCol w:w="992"/>
      </w:tblGrid>
      <w:tr w:rsidR="002F61CA" w:rsidRPr="002F61CA" w:rsidTr="002F61CA">
        <w:trPr>
          <w:trHeight w:val="1005"/>
        </w:trPr>
        <w:tc>
          <w:tcPr>
            <w:tcW w:w="10349" w:type="dxa"/>
            <w:gridSpan w:val="6"/>
            <w:tcBorders>
              <w:top w:val="nil"/>
              <w:left w:val="nil"/>
              <w:bottom w:val="nil"/>
              <w:right w:val="nil"/>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b/>
                <w:bCs/>
                <w:color w:val="000000"/>
                <w:sz w:val="24"/>
                <w:szCs w:val="24"/>
                <w:lang w:eastAsia="ru-RU"/>
              </w:rPr>
            </w:pPr>
            <w:r w:rsidRPr="002F61CA">
              <w:rPr>
                <w:rFonts w:ascii="Times New Roman" w:eastAsia="Times New Roman" w:hAnsi="Times New Roman" w:cs="Times New Roman"/>
                <w:b/>
                <w:bCs/>
                <w:color w:val="000000"/>
                <w:sz w:val="24"/>
                <w:szCs w:val="24"/>
                <w:lang w:eastAsia="ru-RU"/>
              </w:rPr>
              <w:lastRenderedPageBreak/>
              <w:t>Исполнение доходной части бюджетов бюджетной системы Чеченской Республики</w:t>
            </w:r>
          </w:p>
          <w:p w:rsidR="002F61CA" w:rsidRPr="002F61CA" w:rsidRDefault="002F61CA" w:rsidP="002F61CA">
            <w:pPr>
              <w:spacing w:after="0" w:line="240" w:lineRule="auto"/>
              <w:jc w:val="center"/>
              <w:rPr>
                <w:rFonts w:ascii="Times New Roman" w:eastAsia="Times New Roman" w:hAnsi="Times New Roman" w:cs="Times New Roman"/>
                <w:b/>
                <w:bCs/>
                <w:color w:val="000000"/>
                <w:sz w:val="24"/>
                <w:szCs w:val="24"/>
                <w:lang w:eastAsia="ru-RU"/>
              </w:rPr>
            </w:pPr>
          </w:p>
          <w:p w:rsidR="002F61CA" w:rsidRDefault="002F61CA" w:rsidP="002F61CA">
            <w:pPr>
              <w:spacing w:after="0" w:line="240" w:lineRule="auto"/>
              <w:jc w:val="center"/>
              <w:rPr>
                <w:rFonts w:ascii="Times New Roman" w:eastAsia="Times New Roman" w:hAnsi="Times New Roman" w:cs="Times New Roman"/>
                <w:b/>
                <w:bCs/>
                <w:color w:val="000000"/>
                <w:lang w:eastAsia="ru-RU"/>
              </w:rPr>
            </w:pPr>
          </w:p>
          <w:p w:rsidR="002F61CA" w:rsidRDefault="002F61CA" w:rsidP="002F61CA">
            <w:pPr>
              <w:spacing w:after="0" w:line="240" w:lineRule="auto"/>
              <w:jc w:val="center"/>
              <w:rPr>
                <w:rFonts w:ascii="Times New Roman" w:eastAsia="Times New Roman" w:hAnsi="Times New Roman" w:cs="Times New Roman"/>
                <w:b/>
                <w:bCs/>
                <w:color w:val="000000"/>
                <w:lang w:eastAsia="ru-RU"/>
              </w:rPr>
            </w:pPr>
          </w:p>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r w:rsidRPr="002F61CA">
              <w:rPr>
                <w:rFonts w:ascii="Times New Roman" w:eastAsia="Times New Roman" w:hAnsi="Times New Roman" w:cs="Times New Roman"/>
                <w:b/>
                <w:bCs/>
                <w:color w:val="000000"/>
                <w:lang w:eastAsia="ru-RU"/>
              </w:rPr>
              <w:t>Исполнение консолидированного бюджета по налоговым и неналоговым доходам за 2012 год</w:t>
            </w:r>
          </w:p>
        </w:tc>
      </w:tr>
      <w:tr w:rsidR="002F61CA" w:rsidRPr="002F61CA" w:rsidTr="002F61CA">
        <w:trPr>
          <w:trHeight w:val="480"/>
        </w:trPr>
        <w:tc>
          <w:tcPr>
            <w:tcW w:w="3119" w:type="dxa"/>
            <w:tcBorders>
              <w:top w:val="nil"/>
              <w:left w:val="nil"/>
              <w:bottom w:val="single" w:sz="4" w:space="0" w:color="auto"/>
              <w:right w:val="nil"/>
            </w:tcBorders>
            <w:shd w:val="clear" w:color="auto" w:fill="auto"/>
            <w:noWrap/>
            <w:vAlign w:val="bottom"/>
            <w:hideMark/>
          </w:tcPr>
          <w:p w:rsidR="002F61CA" w:rsidRPr="002F61CA" w:rsidRDefault="002F61CA" w:rsidP="002F61CA">
            <w:pPr>
              <w:spacing w:after="0" w:line="240" w:lineRule="auto"/>
              <w:rPr>
                <w:rFonts w:ascii="Times New Roman" w:eastAsia="Times New Roman" w:hAnsi="Times New Roman" w:cs="Times New Roman"/>
                <w:color w:val="000000"/>
                <w:lang w:eastAsia="ru-RU"/>
              </w:rPr>
            </w:pPr>
          </w:p>
        </w:tc>
        <w:tc>
          <w:tcPr>
            <w:tcW w:w="2410" w:type="dxa"/>
            <w:tcBorders>
              <w:top w:val="nil"/>
              <w:left w:val="nil"/>
              <w:bottom w:val="single" w:sz="4" w:space="0" w:color="auto"/>
              <w:right w:val="nil"/>
            </w:tcBorders>
            <w:shd w:val="clear" w:color="auto" w:fill="auto"/>
            <w:noWrap/>
            <w:vAlign w:val="bottom"/>
            <w:hideMark/>
          </w:tcPr>
          <w:p w:rsidR="002F61CA" w:rsidRPr="002F61CA" w:rsidRDefault="002F61CA" w:rsidP="002F61CA">
            <w:pPr>
              <w:spacing w:after="0" w:line="240" w:lineRule="auto"/>
              <w:rPr>
                <w:rFonts w:ascii="Times New Roman" w:eastAsia="Times New Roman" w:hAnsi="Times New Roman" w:cs="Times New Roman"/>
                <w:color w:val="000000"/>
                <w:lang w:eastAsia="ru-RU"/>
              </w:rPr>
            </w:pPr>
          </w:p>
        </w:tc>
        <w:tc>
          <w:tcPr>
            <w:tcW w:w="1277" w:type="dxa"/>
            <w:tcBorders>
              <w:top w:val="nil"/>
              <w:left w:val="nil"/>
              <w:bottom w:val="single" w:sz="4" w:space="0" w:color="auto"/>
              <w:right w:val="nil"/>
            </w:tcBorders>
            <w:shd w:val="clear" w:color="auto" w:fill="auto"/>
            <w:noWrap/>
            <w:vAlign w:val="bottom"/>
            <w:hideMark/>
          </w:tcPr>
          <w:p w:rsidR="002F61CA" w:rsidRPr="002F61CA" w:rsidRDefault="002F61CA" w:rsidP="002F61CA">
            <w:pPr>
              <w:spacing w:after="0" w:line="240" w:lineRule="auto"/>
              <w:rPr>
                <w:rFonts w:ascii="Times New Roman" w:eastAsia="Times New Roman" w:hAnsi="Times New Roman" w:cs="Times New Roman"/>
                <w:color w:val="000000"/>
                <w:lang w:eastAsia="ru-RU"/>
              </w:rPr>
            </w:pPr>
          </w:p>
        </w:tc>
        <w:tc>
          <w:tcPr>
            <w:tcW w:w="1275" w:type="dxa"/>
            <w:tcBorders>
              <w:top w:val="nil"/>
              <w:left w:val="nil"/>
              <w:bottom w:val="single" w:sz="4" w:space="0" w:color="auto"/>
              <w:right w:val="nil"/>
            </w:tcBorders>
            <w:shd w:val="clear" w:color="auto" w:fill="auto"/>
            <w:noWrap/>
            <w:vAlign w:val="bottom"/>
            <w:hideMark/>
          </w:tcPr>
          <w:p w:rsidR="002F61CA" w:rsidRPr="002F61CA" w:rsidRDefault="002F61CA" w:rsidP="002F61CA">
            <w:pPr>
              <w:spacing w:after="0" w:line="240" w:lineRule="auto"/>
              <w:rPr>
                <w:rFonts w:ascii="Times New Roman" w:eastAsia="Times New Roman" w:hAnsi="Times New Roman" w:cs="Times New Roman"/>
                <w:b/>
                <w:color w:val="000000"/>
                <w:lang w:eastAsia="ru-RU"/>
              </w:rPr>
            </w:pPr>
            <w:r w:rsidRPr="002F61CA">
              <w:rPr>
                <w:rFonts w:ascii="Times New Roman" w:eastAsia="Times New Roman" w:hAnsi="Times New Roman" w:cs="Times New Roman"/>
                <w:b/>
                <w:color w:val="00000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b/>
                <w:color w:val="000000"/>
                <w:lang w:eastAsia="ru-RU"/>
              </w:rPr>
            </w:pPr>
            <w:r w:rsidRPr="002F61CA">
              <w:rPr>
                <w:rFonts w:ascii="Times New Roman" w:eastAsia="Times New Roman" w:hAnsi="Times New Roman" w:cs="Times New Roman"/>
                <w:b/>
                <w:color w:val="000000"/>
                <w:lang w:eastAsia="ru-RU"/>
              </w:rPr>
              <w:t xml:space="preserve">тыс. </w:t>
            </w:r>
          </w:p>
        </w:tc>
        <w:tc>
          <w:tcPr>
            <w:tcW w:w="992" w:type="dxa"/>
            <w:tcBorders>
              <w:top w:val="nil"/>
              <w:left w:val="nil"/>
              <w:bottom w:val="single" w:sz="4" w:space="0" w:color="auto"/>
              <w:right w:val="nil"/>
            </w:tcBorders>
            <w:shd w:val="clear" w:color="auto" w:fill="auto"/>
            <w:noWrap/>
            <w:vAlign w:val="bottom"/>
            <w:hideMark/>
          </w:tcPr>
          <w:p w:rsidR="002F61CA" w:rsidRPr="002F61CA" w:rsidRDefault="002F61CA" w:rsidP="002F61CA">
            <w:pPr>
              <w:spacing w:after="0" w:line="240" w:lineRule="auto"/>
              <w:rPr>
                <w:rFonts w:ascii="Times New Roman" w:eastAsia="Times New Roman" w:hAnsi="Times New Roman" w:cs="Times New Roman"/>
                <w:b/>
                <w:color w:val="000000"/>
                <w:lang w:eastAsia="ru-RU"/>
              </w:rPr>
            </w:pPr>
            <w:r w:rsidRPr="002F61CA">
              <w:rPr>
                <w:rFonts w:ascii="Times New Roman" w:eastAsia="Times New Roman" w:hAnsi="Times New Roman" w:cs="Times New Roman"/>
                <w:b/>
                <w:color w:val="000000"/>
                <w:lang w:eastAsia="ru-RU"/>
              </w:rPr>
              <w:t>рублей</w:t>
            </w:r>
          </w:p>
        </w:tc>
      </w:tr>
      <w:tr w:rsidR="002F61CA" w:rsidRPr="002F61CA" w:rsidTr="002F61CA">
        <w:trPr>
          <w:trHeight w:val="87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r w:rsidRPr="002F61CA">
              <w:rPr>
                <w:rFonts w:ascii="Times New Roman" w:eastAsia="Times New Roman" w:hAnsi="Times New Roman" w:cs="Times New Roman"/>
                <w:b/>
                <w:bCs/>
                <w:color w:val="000000"/>
                <w:lang w:eastAsia="ru-RU"/>
              </w:rPr>
              <w:t>Наименование дохода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r w:rsidRPr="002F61CA">
              <w:rPr>
                <w:rFonts w:ascii="Times New Roman" w:eastAsia="Times New Roman" w:hAnsi="Times New Roman" w:cs="Times New Roman"/>
                <w:b/>
                <w:bCs/>
                <w:color w:val="000000"/>
                <w:lang w:eastAsia="ru-RU"/>
              </w:rPr>
              <w:t>КБК</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r w:rsidRPr="002F61CA">
              <w:rPr>
                <w:rFonts w:ascii="Times New Roman" w:eastAsia="Times New Roman" w:hAnsi="Times New Roman" w:cs="Times New Roman"/>
                <w:b/>
                <w:bCs/>
                <w:color w:val="000000"/>
                <w:lang w:eastAsia="ru-RU"/>
              </w:rPr>
              <w:t>План</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r w:rsidRPr="002F61CA">
              <w:rPr>
                <w:rFonts w:ascii="Times New Roman" w:eastAsia="Times New Roman" w:hAnsi="Times New Roman" w:cs="Times New Roman"/>
                <w:b/>
                <w:bCs/>
                <w:color w:val="000000"/>
                <w:lang w:eastAsia="ru-RU"/>
              </w:rPr>
              <w:t>Факт</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proofErr w:type="spellStart"/>
            <w:r w:rsidRPr="002F61CA">
              <w:rPr>
                <w:rFonts w:ascii="Times New Roman" w:eastAsia="Times New Roman" w:hAnsi="Times New Roman" w:cs="Times New Roman"/>
                <w:b/>
                <w:bCs/>
                <w:color w:val="000000"/>
                <w:lang w:eastAsia="ru-RU"/>
              </w:rPr>
              <w:t>Откл</w:t>
            </w:r>
            <w:proofErr w:type="spellEnd"/>
            <w:r>
              <w:rPr>
                <w:rFonts w:ascii="Times New Roman" w:eastAsia="Times New Roman" w:hAnsi="Times New Roman" w:cs="Times New Roman"/>
                <w:b/>
                <w:bCs/>
                <w:color w:val="00000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F61CA" w:rsidRPr="002F61CA" w:rsidRDefault="002F61CA" w:rsidP="002F61CA">
            <w:pPr>
              <w:spacing w:after="0" w:line="240" w:lineRule="auto"/>
              <w:jc w:val="center"/>
              <w:rPr>
                <w:rFonts w:ascii="Times New Roman" w:eastAsia="Times New Roman" w:hAnsi="Times New Roman" w:cs="Times New Roman"/>
                <w:b/>
                <w:bCs/>
                <w:color w:val="000000"/>
                <w:lang w:eastAsia="ru-RU"/>
              </w:rPr>
            </w:pPr>
            <w:r w:rsidRPr="002F61CA">
              <w:rPr>
                <w:rFonts w:ascii="Times New Roman" w:eastAsia="Times New Roman" w:hAnsi="Times New Roman" w:cs="Times New Roman"/>
                <w:b/>
                <w:bCs/>
                <w:color w:val="000000"/>
                <w:lang w:eastAsia="ru-RU"/>
              </w:rPr>
              <w:t>% исп.</w:t>
            </w:r>
          </w:p>
        </w:tc>
      </w:tr>
      <w:tr w:rsidR="002F61CA" w:rsidRPr="002F61CA" w:rsidTr="002F61CA">
        <w:trPr>
          <w:trHeight w:val="2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НАЛОГОВЫЕ И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000 1 00 00000 00 0000 000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12 249 003,2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11 650 606,2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-598 397,0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95,1</w:t>
            </w:r>
          </w:p>
        </w:tc>
      </w:tr>
      <w:tr w:rsidR="002F61CA" w:rsidRPr="002F61CA" w:rsidTr="002F61CA">
        <w:trPr>
          <w:trHeight w:val="23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НА ПРИБЫЛЬ,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8 307 522,4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7 793 690,8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-513 831,6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93,8</w:t>
            </w:r>
          </w:p>
        </w:tc>
      </w:tr>
      <w:tr w:rsidR="002F61CA" w:rsidRPr="002F61CA" w:rsidTr="002F61CA">
        <w:trPr>
          <w:trHeight w:val="6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прибыль организаций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000 1 01 01000 00 0000 110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1 763 503,0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665 568,2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-1 097 934,8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37,7</w:t>
            </w:r>
          </w:p>
        </w:tc>
      </w:tr>
      <w:tr w:rsidR="002F61CA" w:rsidRPr="002F61CA" w:rsidTr="002F61CA">
        <w:trPr>
          <w:trHeight w:val="93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прибыль организаций, зачисляемый в бюджеты бюджетной системы Российской Федерации по соответствующим ставкам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000 1 01 01010 00 0000 110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1 763 503,0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665 568,2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-1 097 934,8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37,7</w:t>
            </w:r>
          </w:p>
        </w:tc>
      </w:tr>
      <w:tr w:rsidR="002F61CA" w:rsidRPr="002F61CA" w:rsidTr="002F61CA">
        <w:trPr>
          <w:trHeight w:val="62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прибыль организаций, зачисляемый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000 1 01 01012 02 0000 110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1 763 503,0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665 460,5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-1 098 042,5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37,7</w:t>
            </w:r>
          </w:p>
        </w:tc>
      </w:tr>
      <w:tr w:rsidR="002F61CA" w:rsidRPr="002F61CA" w:rsidTr="002F61CA">
        <w:trPr>
          <w:trHeight w:val="394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прибыль организаций для сельскохозяйственных товаропроизводителей, не перешедших на систему налогообложения для сельскохозяйственных товаропроизводителей (единый сельскохозяйственный налог), по деятельности, связанной с реализацией произведенной ими сельскохозяйственной продукции, а также с реализацией произведенной и переработанной данными организациями собственной сельскохозяйственной продукции, зачисляемый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000 1 01 01014 02 0000 110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3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доходы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000 1 01 02000 01 0000 110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6 544 019,4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7 128 122,6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584 103,2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108,9</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000 1 01 02010 01 0000 110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6 492 978,7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7 054 977,4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561 998,7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108,7</w:t>
            </w:r>
          </w:p>
        </w:tc>
      </w:tr>
      <w:tr w:rsidR="002F61CA" w:rsidRPr="002F61CA" w:rsidTr="002F61CA">
        <w:trPr>
          <w:trHeight w:val="30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000 1 01 02020 01 0000 110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23 274,4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16 826,1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-6 448,3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72,3</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000 1 01 02030 01 0000 110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26 273,7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54 568,9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28 295,2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207,7</w:t>
            </w:r>
          </w:p>
        </w:tc>
      </w:tr>
      <w:tr w:rsidR="002F61CA" w:rsidRPr="002F61CA" w:rsidTr="002F61CA">
        <w:trPr>
          <w:trHeight w:val="69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000 1 01 02040 01 0000 110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1 492,5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1 750,2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257,7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117,3</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НА ТОВАРЫ (РАБОТЫ, УСЛУГИ), РЕАЛИЗУЕМЫЕ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2 874 858,0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2 639 137,8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-235 720,2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91,8</w:t>
            </w:r>
          </w:p>
        </w:tc>
      </w:tr>
      <w:tr w:rsidR="002F61CA" w:rsidRPr="002F61CA" w:rsidTr="002F61CA">
        <w:trPr>
          <w:trHeight w:val="74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Акцизы по подакцизным товарам (продукции), производимым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000 1 03 02000 01 0000 110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2 874 858,0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2 639 137,8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-235 720,2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91,8</w:t>
            </w:r>
          </w:p>
        </w:tc>
      </w:tr>
      <w:tr w:rsidR="002F61CA" w:rsidRPr="002F61CA" w:rsidTr="002F61CA">
        <w:trPr>
          <w:trHeight w:val="12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Акцизы на спирт этиловый из всех видов сырья (в том числе этиловый спирт-сырец из всех видов сырья), спирт коньячный, производимый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000 1 03 02010 01 0000 110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8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Акцизы на спирт этиловый (в том числе этиловый спирт-сырец) из пищевого сырья, производимый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000 1 03 02011 01 0000 110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81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Акцизы на спиртосодержащую продукцию, производимую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000 1 03 02020 01 0000 110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254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lastRenderedPageBreak/>
              <w:t>Акцизы на алкогольную продукцию с объемной долей этилового спирта свыше 9 процентов, в том числе напитки, изготавливаемые на основе пива, произведенные с добавлением спирта этилового (за исключением пива, вин натуральных, в том числе шампанских, игристых, газированных, шипучих, натуральных напитков с объемной долей этилового спирта не более 6 процентов объема готовой продукции, изготовленных из виноматериалов, произведенных без добавления спирта этилового), производимую</w:t>
            </w:r>
            <w:proofErr w:type="gramEnd"/>
            <w:r w:rsidRPr="002F61CA">
              <w:rPr>
                <w:rFonts w:ascii="Times New Roman" w:eastAsia="Times New Roman" w:hAnsi="Times New Roman" w:cs="Times New Roman"/>
                <w:sz w:val="20"/>
                <w:szCs w:val="20"/>
                <w:lang w:eastAsia="ru-RU"/>
              </w:rPr>
              <w:t xml:space="preserve">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000 1 03 02110 01 0000 110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уплаты акцизов на дизельное топливо,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000 1 03 02150 01 0000 110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920 944,0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924 285,2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3 341,2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100,4</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уплаты акцизов на моторные масла для дизельных и (или) карбюраторных (</w:t>
            </w:r>
            <w:proofErr w:type="spellStart"/>
            <w:r w:rsidRPr="002F61CA">
              <w:rPr>
                <w:rFonts w:ascii="Times New Roman" w:eastAsia="Times New Roman" w:hAnsi="Times New Roman" w:cs="Times New Roman"/>
                <w:sz w:val="20"/>
                <w:szCs w:val="20"/>
                <w:lang w:eastAsia="ru-RU"/>
              </w:rPr>
              <w:t>инжекторных</w:t>
            </w:r>
            <w:proofErr w:type="spellEnd"/>
            <w:r w:rsidRPr="002F61CA">
              <w:rPr>
                <w:rFonts w:ascii="Times New Roman" w:eastAsia="Times New Roman" w:hAnsi="Times New Roman" w:cs="Times New Roman"/>
                <w:sz w:val="20"/>
                <w:szCs w:val="20"/>
                <w:lang w:eastAsia="ru-RU"/>
              </w:rPr>
              <w:t>) двигателей,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000 1 03 02160 01 0000 110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31 131,0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19 645,5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-11 485,5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63,1</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уплаты акцизов на автомобильный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000 1 03 02170 01 0000 110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1 844 821,0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1 610 859,7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-233 961,3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87,3</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уплаты акцизов на прямогонный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000 1 03 02180 01 0000 110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77 362,0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84 275,3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6 913,3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108,9</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НА СОВОКУПНЫЙ ДОХОД</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122 546,2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129 131,9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6 585,7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105,4</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56 776,2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72 711,6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15 935,4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128,1</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31 994,0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28 211,5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-3 782,5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88,2</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000 1 05 01011 01 0000 110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31 959,0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28 984,0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-2 975,0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90,7</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000 1 05 01012 01 0000 110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-772,5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-807,5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000 1 05 01020 01 0000 110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23 520,2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27 327,9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3 807,7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116,2</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000 1 05 01021 01 0000 110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23 520,2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25 888,9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2 368,7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110,1</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000 1 05 01022 01 0000 110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1 438,9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1 438,9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000 1 05 01040 02 0000 110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584,0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592,7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101,5</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000 1 05 01041 02 0000 110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584,0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477,8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-106,2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81,8</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000 1 05 01042 02 0000 110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114,9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Минимальный налог, зачисляемый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000 1 05 01050 01 0000 110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678,0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16 579,5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15 901,5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2 445,4</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Единый налог на вмененный доход для отдельных видов деятельности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000 1 05 02000 02 0000 110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57 813,0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50 809,0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-7 004,0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87,9</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Единый налог на вмененный доход для отдельных видов деятельности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000 1 05 02010 02 0000 110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57 813,0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49 901,0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-7 912,0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86,3</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Единый налог на вмененный доход для отдельных видов деятельности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000 1 05 02020 02 0000 110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908,0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908,0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000 1 05 03000 01 0000 110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7 957,0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5 611,3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-2 345,7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70,5</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000 1 05 03010 01 0000 110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7 957,0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4 705,2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-3 251,8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59,1</w:t>
            </w:r>
          </w:p>
        </w:tc>
      </w:tr>
      <w:tr w:rsidR="002F61CA" w:rsidRPr="002F61CA" w:rsidTr="002F61CA">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Единый сельскохозяйственный налог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000 1 05 03020 01 0000 110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906,2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906,2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4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582 158,4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676 975,1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94 816,7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116,3</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000 1 06 01000 00 0000 110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12 920,3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10 036,3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-2 884,0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77,7</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физических лиц, взимаемый по ставкам, применяемым к объектам налогообложения, расположенным в границах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000 1 06 01020 04 0000 110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1 709,0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2 072,9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363,9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121,3</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000 1 06 01030 05 0000 110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90,7</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физических лиц, взимаемый по ставкам, применяемым к объектам налогообложения, расположенным в границах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000 1 06 01030 10 0000 110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11 109,3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7 870,9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-3 238,4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70,8</w:t>
            </w:r>
          </w:p>
        </w:tc>
      </w:tr>
      <w:tr w:rsidR="002F61CA" w:rsidRPr="002F61CA" w:rsidTr="002F61CA">
        <w:trPr>
          <w:trHeight w:val="8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организаций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000 1 06 02000 02 0000 110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436 862,0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581 395,9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144 533,9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133,1</w:t>
            </w:r>
          </w:p>
        </w:tc>
      </w:tr>
      <w:tr w:rsidR="002F61CA" w:rsidRPr="002F61CA" w:rsidTr="002F61CA">
        <w:trPr>
          <w:trHeight w:val="3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организаций по имуществу, не входящему в Единую систему газоснабжения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000 1 06 02010 02 0000 110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414 949,0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523 773,7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108 824,7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126,2</w:t>
            </w:r>
          </w:p>
        </w:tc>
      </w:tr>
      <w:tr w:rsidR="002F61CA" w:rsidRPr="002F61CA" w:rsidTr="002F61CA">
        <w:trPr>
          <w:trHeight w:val="40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организаций по имуществу, входящему в Единую систему газоснабжения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000 1 06 02020 02 0000 110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21 913,0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57 622,2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35 709,2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263,0</w:t>
            </w:r>
          </w:p>
        </w:tc>
      </w:tr>
      <w:tr w:rsidR="002F61CA" w:rsidRPr="002F61CA" w:rsidTr="002F61CA">
        <w:trPr>
          <w:trHeight w:val="13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Транспортный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000 1 06 04000 02 0000 110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13 834,0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22 396,7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8 562,7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161,9</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Транспортный налог с организаций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000 1 06 04011 02 0000 110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4 577,0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8 068,8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3 491,8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176,3</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Транспортный налог с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000 1 06 04012 02 0000 110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9 257,0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14 327,9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5 070,9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154,8</w:t>
            </w:r>
          </w:p>
        </w:tc>
      </w:tr>
      <w:tr w:rsidR="002F61CA" w:rsidRPr="002F61CA" w:rsidTr="002F61CA">
        <w:trPr>
          <w:trHeight w:val="9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118 542,1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63 146,2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-55 395,9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53,3</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000 1 06 06010 00 0000 110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55 306,4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17 140,7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-38 165,7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31,0</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000 1 06 06012 04 0000 110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9 894,0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2 468,8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-7 425,2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25,0</w:t>
            </w:r>
          </w:p>
        </w:tc>
      </w:tr>
      <w:tr w:rsidR="002F61CA" w:rsidRPr="002F61CA" w:rsidTr="002F61CA">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000 1 06 06013 05 0000 110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840,0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425,4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-414,6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50,6</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000 1 06 06013 10 0000 110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44 572,4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14 246,4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-30 326,0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000 1 06 06020 00 0000 110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63 235,7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46 005,5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-17 230,1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72,8</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000 1 06 06022 04 0000 110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51 844,0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42 416,7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-9 427,3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81,8</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межселенных территорий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000 1 06 06023 05 0000 110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1 303,0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505,6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-797,4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38,8</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000 1 06 06023 10 0000 110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10 088,7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3 083,3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-7 005,4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30,6</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СБОРЫ И РЕГУЛЯРНЫЕ ПЛАТЕЖИ ЗА ПОЛЬЗОВАНИЕ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000 1 07 00000 00 0000 000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742,0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69,3</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добычу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000 1 07 01000 01 0000 110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742,0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69,3</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добычу общераспространенных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000 1 07 01020 01 0000 110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742,0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69,3</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9 831,3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20 806,8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10 975,5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211,6</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по делам, рассматриваемым в судах общей юрисдикции, мировыми судьями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000 1 08 03000 01 0000 110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7 742,0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15 837,3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8 095,3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204,6</w:t>
            </w:r>
          </w:p>
        </w:tc>
      </w:tr>
      <w:tr w:rsidR="002F61CA" w:rsidRPr="002F61CA" w:rsidTr="002F61CA">
        <w:trPr>
          <w:trHeight w:val="11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000 1 08 03010 01 0000 110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7 742,0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15 837,3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8 095,3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204,6</w:t>
            </w:r>
          </w:p>
        </w:tc>
      </w:tr>
      <w:tr w:rsidR="002F61CA" w:rsidRPr="002F61CA" w:rsidTr="002F61CA">
        <w:trPr>
          <w:trHeight w:val="95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Государственная пошлина за государственную регистрацию, а также за совершение прочих юридически значимых действий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000 1 08 07000 01 0000 110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2 089,3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4 969,5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2 880,2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237,9</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000 1 08 07080 01 0000 110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244,0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1 182,1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484,5</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 зачисляемая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000 1 08 07082 01 0000 110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244,0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1 182,1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484,5</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государственную регистрацию межрегиональных, региональных и местных общественных объединений, отделений общественных объединений, а также за государственную регистрацию изменений их учредительных документов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000 1 08 07110 01 0000 110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136,1</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государственную регистрацию региональных отделений политической партии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000 1 08 07120 01 0000 110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а также за выдачу дубликата свидетельства о такой регистрации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000 1 08 07130 01 0000 110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52,1</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государственную регистрацию транспортных средств и иные юридически значимые действия, связанные с изменениями и выдачей документов на транспортные средства, регистрационных знаков, водительских удостоверений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000 1 08 07140 01 0000 110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1 752,4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1 752,4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Государственная пошлина за проведение уполномоченными органами исполнительной власти субъектов Российской Федерации государственного технического осмотра, регистрации тракторов, самоходных и иных машин, за выдачу удостоверений тракторист</w:t>
            </w:r>
            <w:proofErr w:type="gramStart"/>
            <w:r w:rsidRPr="002F61CA">
              <w:rPr>
                <w:rFonts w:ascii="Times New Roman" w:eastAsia="Times New Roman" w:hAnsi="Times New Roman" w:cs="Times New Roman"/>
                <w:sz w:val="20"/>
                <w:szCs w:val="20"/>
                <w:lang w:eastAsia="ru-RU"/>
              </w:rPr>
              <w:t>а-</w:t>
            </w:r>
            <w:proofErr w:type="gramEnd"/>
            <w:r w:rsidRPr="002F61CA">
              <w:rPr>
                <w:rFonts w:ascii="Times New Roman" w:eastAsia="Times New Roman" w:hAnsi="Times New Roman" w:cs="Times New Roman"/>
                <w:sz w:val="20"/>
                <w:szCs w:val="20"/>
                <w:lang w:eastAsia="ru-RU"/>
              </w:rPr>
              <w:t xml:space="preserve"> машиниста (тракториста)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000 1 08 07142 01 0000 110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1 752,4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1 752,4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72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Государственная пошлина за выдачу разрешения на установку рекламной конструкции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000 1 08 07150 01 0000 110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228,0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276,1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121,1</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государственные пошлины за совершение прочих юридически значимых действий, подлежащие зачислению в бюджет субъекта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000 1 08 07300 01 0000 110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1 467,3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1 583,1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107,9</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ЗАДОЛЖЕННОСТЬ И ПЕРЕРАСЧЕТЫ ПО ОТМЕНЕННЫМ НАЛОГАМ, СБОРАМ И ИНЫМ ОБЯЗАТЕЛЬНЫМ ПЛАТЕЖАМ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1 021,3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1 021,3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прибыль организаций, зачислявшийся до 1 января 2005 года в местные бюджеты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000 1 09 01000 00 0000 110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прибыль организаций, зачислявшийся до 1 января 2005 года в местные бюджеты, мобилизуемый на территориях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000 1 09 01030 05 0000 110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48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за пользование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000 1 09 03000 00 0000 110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за добычу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000 1 09 03020 00 0000 110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за добычу общераспространенных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000 1 09 03021 00 0000 110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за добычу общераспространенных полезных ископаемых, мобилизуемые на территориях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000 1 09 03021 05 0000 110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889,4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имущество предприятий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000 1 09 04010 02 0000 110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с владельцев транспортных средств и налог на приобретение автотранспортных средств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000 1 09 04020 02 0000 110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Налог на пользователей автомобильных дорог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000 1 09 04030 01 0000 110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(по обязательствам, возникшим до 1 января 2006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000 1 09 04050 00 0000 110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709,2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709,2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 xml:space="preserve">Земельный налог (по обязательствам, возникшим до 1 января 2006 года), мобилизуемый на территориях городских </w:t>
            </w:r>
            <w:r w:rsidRPr="002F61CA">
              <w:rPr>
                <w:rFonts w:ascii="Times New Roman" w:eastAsia="Times New Roman" w:hAnsi="Times New Roman" w:cs="Times New Roman"/>
                <w:sz w:val="20"/>
                <w:szCs w:val="20"/>
                <w:lang w:eastAsia="ru-RU"/>
              </w:rPr>
              <w:lastRenderedPageBreak/>
              <w:t>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lastRenderedPageBreak/>
              <w:t>000 1 09 04052 04 0000 110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Земельный налог (по обязательствам, возникшим до 1 января 2006 года), мобилизуемый на межселенных территориях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000 1 09 04053 05 0000 110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111,8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Земельный налог (по обязательствам, возникшим до 1 января 2006 года), мобилизуемый на территориях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000 1 09 04053 10 0000 110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573,9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573,9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налоги и сборы (по отмененным налогам и сборам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000 1 09 06000 02 0000 110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Сбор на нужды образовательных учреждений, взимаемый с юридических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000 1 09 06020 02 0000 110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налоги и сборы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000 1 09 06030 02 0000 110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налоги и сборы (по отмененным местным налогам и сборам)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000 1 09 07000 00 0000 110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0F0388">
        <w:trPr>
          <w:trHeight w:val="27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местные налоги и сборы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000 1 09 07050 00 0000 110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51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местные налоги и сборы, мобилизуемые на территориях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000 1 09 07052 04 0000 110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52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местные налоги и сборы, мобилизуемые на территориях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000 1 09 07053 05 0000 110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158 315,4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165 440,8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7 125,4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104,5</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000 1 11 01000 00 0000 120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10 283,2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10 283,2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000 1 11 01020 02 0000 120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10 283,2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10 283,2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Проценты, полученные от предоставления бюджетных кредитов внутри страны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000 1 11 03000 00 0000 120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4 996,6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10 868,2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5 871,6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217,5</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Проценты, полученные от предоставления бюджетных кредитов внутри страны за счет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000 1 11 03020 02 0000 120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4 996,6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10 868,2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5 871,6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217,5</w:t>
            </w:r>
          </w:p>
        </w:tc>
      </w:tr>
      <w:tr w:rsidR="002F61CA" w:rsidRPr="002F61CA" w:rsidTr="002F61CA">
        <w:trPr>
          <w:trHeight w:val="27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000 1 11 05000 00 0000 120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118 441,4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142 161,0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23 719,6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120,0</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000 1 11 05010 00 0000 120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21 337,3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28 758,4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7 421,1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134,8</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000 1 11 05012 04 0000 120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6 200,0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13 111,6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6 911,6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211,5</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000 1 11 05013 05 0000 120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15 137,3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15 646,8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509,5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103,4</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000 1 11 05020 00 0000 120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89 792,1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93 703,7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3 911,6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104,4</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000 1 11 05022 02 0000 120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2 580,0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3 275,2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695,2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126,9</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lastRenderedPageBreak/>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000 1 11 05024 04 0000 120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72 185,0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67 278,9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-4 906,1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93,2</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000 1 11 05025 05 0000 120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13 019,6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18 879,7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5 860,1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145,0</w:t>
            </w:r>
          </w:p>
        </w:tc>
      </w:tr>
      <w:tr w:rsidR="002F61CA" w:rsidRPr="002F61CA" w:rsidTr="002F61CA">
        <w:trPr>
          <w:trHeight w:val="154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поселений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000 1 11 05025 10 0000 120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2 007,5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4 269,9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2 262,4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212,7</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000 1 11 05030 00 0000 120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7 312,0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19 698,9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12 386,9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269,4</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бюджетных и автономных учреждений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000 1 11 05032 02 0000 120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7 000,0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17 350,8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10 350,8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247,9</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000 1 11 05034 04 0000 120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165,0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375,0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227,3</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000 1 11 05035 05 0000 120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119,0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1 542,6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1 423,6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1 296,3</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000 1 11 05035 10 0000 120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430,6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402,6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1 538,0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от государственных и муниципальных унитарных предприятий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000 1 11 07000 00 0000 120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34 877,4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2 128,4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-32 749,0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6,1</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000 1 11 07010 00 0000 120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34 877,4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2 128,4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-32 749,0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6,1</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000 1 11 07012 02 0000 120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34 877,4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2 039,0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-32 838,4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000 1 11 07014 04 0000 120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ПРИ ПОЛЬЗОВАНИИ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7 039,0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12 958,6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5 919,6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184,1</w:t>
            </w:r>
          </w:p>
        </w:tc>
      </w:tr>
      <w:tr w:rsidR="002F61CA" w:rsidRPr="002F61CA" w:rsidTr="002F61CA">
        <w:trPr>
          <w:trHeight w:val="55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негативное воздействие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000 1 12 01000 01 0000 120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6 182,0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12 409,9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200,7</w:t>
            </w:r>
          </w:p>
        </w:tc>
      </w:tr>
      <w:tr w:rsidR="002F61CA" w:rsidRPr="002F61CA" w:rsidTr="002F61CA">
        <w:trPr>
          <w:trHeight w:val="42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выбросы загрязняющих веществ в атмосферный воздух стационарными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000 1 12 01010 01 0000 120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844,3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110,3</w:t>
            </w:r>
          </w:p>
        </w:tc>
      </w:tr>
      <w:tr w:rsidR="002F61CA" w:rsidRPr="002F61CA" w:rsidTr="002F61CA">
        <w:trPr>
          <w:trHeight w:val="43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выбросы загрязняющих веществ в атмосферный воздух передвижными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000 1 12 01020 01 0000 120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180,9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144,9</w:t>
            </w:r>
          </w:p>
        </w:tc>
      </w:tr>
      <w:tr w:rsidR="002F61CA" w:rsidRPr="002F61CA" w:rsidTr="002F61CA">
        <w:trPr>
          <w:trHeight w:val="29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сбросы загрязняющих веществ в водные объекты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000 1 12 01030 01 0000 120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570,3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93,3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-476,9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16,4</w:t>
            </w:r>
          </w:p>
        </w:tc>
      </w:tr>
      <w:tr w:rsidR="002F61CA" w:rsidRPr="002F61CA" w:rsidTr="002F61CA">
        <w:trPr>
          <w:trHeight w:val="39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размещение отходов производства и потребления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000 1 12 01040 01 0000 120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4 586,6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10 895,2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6 308,7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237,5</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иные виды негативного воздействия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000 1 12 01050 01 0000 120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228,3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228,3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Платежи при пользовании недрами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000 1 12 02000 00 0000 120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145,4</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Регулярные платежи за пользование недрами при пользовании недрами (</w:t>
            </w:r>
            <w:proofErr w:type="spellStart"/>
            <w:r w:rsidRPr="002F61CA">
              <w:rPr>
                <w:rFonts w:ascii="Times New Roman" w:eastAsia="Times New Roman" w:hAnsi="Times New Roman" w:cs="Times New Roman"/>
                <w:sz w:val="20"/>
                <w:szCs w:val="20"/>
                <w:lang w:eastAsia="ru-RU"/>
              </w:rPr>
              <w:t>ренталс</w:t>
            </w:r>
            <w:proofErr w:type="spellEnd"/>
            <w:r w:rsidRPr="002F61CA">
              <w:rPr>
                <w:rFonts w:ascii="Times New Roman" w:eastAsia="Times New Roman" w:hAnsi="Times New Roman" w:cs="Times New Roman"/>
                <w:sz w:val="20"/>
                <w:szCs w:val="20"/>
                <w:lang w:eastAsia="ru-RU"/>
              </w:rPr>
              <w:t>)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000 1 12 02030 01 0000 120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145,4</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использование лесов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000 1 12 04000 00 0000 120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837,0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519,6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-317,4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62,1</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использование лесов в части, превышающей минимальный размер арендной платы и минимальный размер платы по договору купли-продажи лесных насаждений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000 1 12 04020 02 0000 120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692,0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66,8</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за использование лесов в части, превышающей минимальный размер арендной платы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000 1 12 04022 02 0000 120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692,0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66,8</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Плата по договору купли-продажи лесных насаждений для собственных нужд</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000 1 12 04060 02 0000 120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145,0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39,7</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ОКАЗАНИЯ ПЛАТНЫХ УСЛУГ (РАБОТ) И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140 802,4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154 585,2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13 782,8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109,8</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000 1 13 01000 00 0000 130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14 762,1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17 301,7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2 539,5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117,2</w:t>
            </w:r>
          </w:p>
        </w:tc>
      </w:tr>
      <w:tr w:rsidR="002F61CA" w:rsidRPr="002F61CA" w:rsidTr="002F61CA">
        <w:trPr>
          <w:trHeight w:val="40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000 1 13 01990 00 0000 130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14 762,1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17 301,7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2 539,5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117,2</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000 1 13 01992 02 0000 130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8 752,3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11 122,8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2 370,4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127,1</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000 1 13 01994 04 0000 130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945,6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947,2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100,2</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000 1 13 01995 05 0000 130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4 761,5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4 905,5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103,0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000 1 13 01995 10 0000 130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302,7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107,8</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000 1 13 02000 00 0000 130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126 040,3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137 283,5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11 243,2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108,9</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000 1 13 02990 00 0000 130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126 040,3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137 283,5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11 243,2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108,9</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компенсации затрат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000 1 13 02992 02 0000 130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107 272,9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116 857,6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9 584,7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108,9</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компенсации затрат бюджетов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000 1 13 02994 04 0000 130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3 094,8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3 780,9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686,1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122,2</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компенсации затрат бюджетов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000 1 13 02995 05 0000 130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12 865,6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13 585,5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105,6</w:t>
            </w:r>
          </w:p>
        </w:tc>
      </w:tr>
      <w:tr w:rsidR="002F61CA" w:rsidRPr="002F61CA" w:rsidTr="002F61CA">
        <w:trPr>
          <w:trHeight w:val="41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доходы от компенсации затрат бюджетов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000 1 13 02995 10 0000 130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2 807,0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3 059,6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252,6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109,0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ОТ ПРОДАЖИ МАТЕРИАЛЬНЫХ И НЕМАТЕРИАЛЬНЫХ АКТИВОВ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12 852,0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9 180,7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-3 671,3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71,4</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9 061,0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6 705,2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-2 355,8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74,0</w:t>
            </w:r>
          </w:p>
        </w:tc>
      </w:tr>
      <w:tr w:rsidR="002F61CA" w:rsidRPr="002F61CA" w:rsidTr="002F61CA">
        <w:trPr>
          <w:trHeight w:val="30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000 1 14 02020 02 0000 410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7 288,0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5 437,1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-1 850,9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74,6</w:t>
            </w:r>
          </w:p>
        </w:tc>
      </w:tr>
      <w:tr w:rsidR="002F61CA" w:rsidRPr="002F61CA" w:rsidTr="002F61CA">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государственной власти субъектов Российской Федерации (за исключением имущества бюджетных и автономных учреждений субъектов Российской Федерации),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000 1 14 02022 02 0000 410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4 500,0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4 942,1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442,1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109,8</w:t>
            </w:r>
          </w:p>
        </w:tc>
      </w:tr>
      <w:tr w:rsidR="002F61CA" w:rsidRPr="002F61CA" w:rsidTr="002F61CA">
        <w:trPr>
          <w:trHeight w:val="30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иного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000 1 14 02023 02 0000 410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2 788,0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495,0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-2 293,0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17,8</w:t>
            </w:r>
          </w:p>
        </w:tc>
      </w:tr>
      <w:tr w:rsidR="002F61CA" w:rsidRPr="002F61CA" w:rsidTr="002F61CA">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 xml:space="preserve">Доходы от реализации имущества, находящегося в собственности городских округов (за исключением имущества </w:t>
            </w:r>
            <w:r w:rsidRPr="002F61CA">
              <w:rPr>
                <w:rFonts w:ascii="Times New Roman" w:eastAsia="Times New Roman" w:hAnsi="Times New Roman" w:cs="Times New Roman"/>
                <w:sz w:val="20"/>
                <w:szCs w:val="20"/>
                <w:lang w:eastAsia="ru-RU"/>
              </w:rPr>
              <w:lastRenderedPageBreak/>
              <w:t>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lastRenderedPageBreak/>
              <w:t>000 1 14 02040 04 0000 410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973,0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187,4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-785,6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19,3</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000 1 14 02042 04 0000 410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973,0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187,4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-785,6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19,3</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000 1 14 02050 05 0000 410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776,0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112,6</w:t>
            </w:r>
          </w:p>
        </w:tc>
      </w:tr>
      <w:tr w:rsidR="002F61CA" w:rsidRPr="002F61CA" w:rsidTr="002F61CA">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000 1 14 02052 05 0000 410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776,0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112,6</w:t>
            </w:r>
          </w:p>
        </w:tc>
      </w:tr>
      <w:tr w:rsidR="002F61CA" w:rsidRPr="002F61CA" w:rsidTr="002F61CA">
        <w:trPr>
          <w:trHeight w:val="27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000 1 14 02050 05 0000 440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материальных запасов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000 1 14 02052 05 0000 440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4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000 1 14 02050 10 0000 410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46,3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192,7</w:t>
            </w:r>
          </w:p>
        </w:tc>
      </w:tr>
      <w:tr w:rsidR="002F61CA" w:rsidRPr="002F61CA" w:rsidTr="002F61CA">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управления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000 1 14 02052 10 0000 410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109,4</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реализации иного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000 1 14 02053 10 0000 410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000 1 14 06000 00 0000 430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3 791,0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2 475,5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-1 315,5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65,3</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000 1 14 06020 00 0000 430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3 791,0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2 475,5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-1 315,5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65,3</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от продажи земельных участков, находящихся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000 1 14 06022 02 0000 430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2 552,0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2 270,9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-281,1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89,0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000 1 14 06024 04 0000 430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000 1 14 06025 05 0000 430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1 178,0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-1 073,6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8,9</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продажи земельных участков, находящихся в собственности поселений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000 1 14 06025 10 0000 430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27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ШТРАФЫ, САНКЦИИ,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31 854,0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45 187,4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13 333,4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141,9</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антимонопольного законодательства в сфере конкуренции на товарных рынках, защиты конкуренции на рынке финансовых услуг, законодательства о естественных монополиях и законодательства о государственном регулировании цен (тарифов)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000 1 16 02000 00 0000 140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750,0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1 160,6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410,6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154,7</w:t>
            </w:r>
          </w:p>
        </w:tc>
      </w:tr>
      <w:tr w:rsidR="002F61CA" w:rsidRPr="002F61CA" w:rsidTr="002F61CA">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 Российской Федерации, налагаемые органами исполнительной власти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000 1 16 02030 02 0000 140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750,0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1 160,6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410,6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154,7</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о налогах и сборах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000 1 16 03000 00 0000 140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1 746,0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1 881,9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107,8</w:t>
            </w:r>
          </w:p>
        </w:tc>
      </w:tr>
      <w:tr w:rsidR="002F61CA" w:rsidRPr="002F61CA" w:rsidTr="002F61CA">
        <w:trPr>
          <w:trHeight w:val="30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proofErr w:type="gramStart"/>
            <w:r w:rsidRPr="002F61CA">
              <w:rPr>
                <w:rFonts w:ascii="Times New Roman" w:eastAsia="Times New Roman" w:hAnsi="Times New Roman" w:cs="Times New Roman"/>
                <w:sz w:val="20"/>
                <w:szCs w:val="20"/>
                <w:lang w:eastAsia="ru-RU"/>
              </w:rPr>
              <w:lastRenderedPageBreak/>
              <w:t>Денежные взыскания (штрафы) за нарушение законодательства о налогах и сборах, предусмотренные статьями 116, 118, 1191, пунктами 1 и 2 статьи 120, статьями 125, 126, 128, 129, 1291, 132, 133, 134, 135, 1351 Налогового кодекса Российской Федерации, а также штрафы, взыскание которых осуществляется на основании ранее действовавшей статьи 117 Налогового кодекса Российской Федерации</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000 1 16 03010 01 0000 140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763,0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1 279,4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516,4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167,7</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о налогах и сборах, предусмотренные статьей 1292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000 1 16 03020 02 0000 140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000 1 16 03030 01 0000 140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983,0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405,3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-577,7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41,2</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000 1 16 06000 01 0000 140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2 383,0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1 784,4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74,9</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000 1 16 08000 01 0000 140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591,7</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000 1 16 21000 00 0000 140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634,0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371,6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58,6</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000 1 16 21020 02 0000 140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600,0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-286,4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52,3</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000 1 16 21040 04 0000 140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170,6</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Доходы от возмещения ущерба при возникновении страховых случаев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000 1 16 23000 00 0000 140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возмещения ущерба при возникновении страховых случаев, когда выгодоприобретателями выступают получатели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000 1 16 23020 02 0000 140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Доходы от возмещения ущерба при возникновении иных страховых случаев, когда выгодоприобретателями выступают получатели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000 1 16 23022 02 0000 140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4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1 505,0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4 018,3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2 513,3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267,0</w:t>
            </w:r>
          </w:p>
        </w:tc>
      </w:tr>
      <w:tr w:rsidR="002F61CA" w:rsidRPr="002F61CA" w:rsidTr="002F61CA">
        <w:trPr>
          <w:trHeight w:val="57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недрах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000 1 16 25010 01 0000 140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1 589,0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1 544,0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3 531,1</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особо охраняемых природных территориях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000 1 16 25020 01 0000 140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55,0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000 1 16 25030 01 0000 140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140,0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157,7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112,6</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в области охраны окружающей среды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000 1 16 25050 01 0000 140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1 079,0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773,4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-305,6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71,7</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земельного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000 1 16 25060 01 0000 140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221,0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436,2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197,4</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водного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000 1 16 25080 00 0000 140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1 056,5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1 046,5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10 565,0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водного законодательства на водных объектах, находящихся в собственности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000 1 16 25082 02 0000 140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1 056,5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1 046,5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10 565,0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Федерального закона "О пожарной безопасности"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000 1 16 27000 01 0000 140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2 680,0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5 791,1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3 111,1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216,1</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000 1 16 28000 01 0000 140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2 043,0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1 580,5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-462,5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77,4</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000 1 16 30000 01 0000 140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9 254,0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13 039,8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3 785,8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140,9</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000 1 16 30010 01 0000 140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 регионального или межмуниципального значения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000 1 16 30012 01 0000 140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безопасности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000 1 16 30020 01 0000 140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9 254,0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12 652,6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3 398,6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136,7</w:t>
            </w:r>
          </w:p>
        </w:tc>
      </w:tr>
      <w:tr w:rsidR="002F61CA" w:rsidRPr="002F61CA" w:rsidTr="000F0388">
        <w:trPr>
          <w:trHeight w:val="47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000 1 16 30030 01 0000 140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386,1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386,1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000 1 16 33000 00 0000 140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3 693,0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4 658,9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965,9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126,2</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000 1 16 33020 02 0000 140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2 018,0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4 286,9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2 268,9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212,4</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000 1 16 33040 04 0000 140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403,0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-403,0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000 1 16 33050 05 0000 140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1 272,0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-960,0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24,5</w:t>
            </w:r>
          </w:p>
        </w:tc>
      </w:tr>
      <w:tr w:rsidR="002F61CA" w:rsidRPr="002F61CA" w:rsidTr="002F61CA">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000 1 16 33050 10 0000 140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000 1 16 43000 01 0000 140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000 1 16 90000 00 0000 140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7 163,0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10 741,9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3 578,9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150,0</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 зачисляемые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000 1 16 90020 02 0000 140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569,0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1 161,2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592,2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204,1</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 зачисляемые в бюджеты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000 1 16 90040 04 0000 140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4 610,0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6 828,0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2 218,0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148,1</w:t>
            </w:r>
          </w:p>
        </w:tc>
      </w:tr>
      <w:tr w:rsidR="002F61CA" w:rsidRPr="002F61CA" w:rsidTr="002F61CA">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 зачисляемые в бюджеты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000 1 16 90050 05 0000 140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1 984,0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2 752,7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768,7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138,7</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000 1 17 00000 00 0000 000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482,0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1 975,7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1 493,7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409,9</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Невыясненные поступления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000 1 17 01000 00 0000 180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1 171,7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1 171,7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Невыясненные поступления, зачисляемые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000 1 17 01020 02 0000 180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175,8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Невыясненные поступления, зачисляемые в бюджеты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000 1 17 01040 04 0000 180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78,1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Невыясненные поступления, зачисляемые в бюджеты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000 1 17 01050 05 0000 180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Невыясненные поступления, зачисляемые в бюджеты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000 1 17 01050 10 0000 180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206,6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2F61CA">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000 1 17 05000 00 0000 180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482,0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803,9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321,9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166,8</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неналоговые доходы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000 1 17 05020 02 0000 180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125,0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125,6</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Прочие неналоговые доходы бюджетов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000 1 17 05040 04 0000 180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87,0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-71,2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18,2</w:t>
            </w:r>
          </w:p>
        </w:tc>
      </w:tr>
      <w:tr w:rsidR="002F61CA" w:rsidRPr="002F61CA" w:rsidTr="002F61CA">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 xml:space="preserve">Прочие неналоговые доходы бюджетов муниципальных </w:t>
            </w:r>
            <w:r w:rsidRPr="002F61CA">
              <w:rPr>
                <w:rFonts w:ascii="Times New Roman" w:eastAsia="Times New Roman" w:hAnsi="Times New Roman" w:cs="Times New Roman"/>
                <w:sz w:val="20"/>
                <w:szCs w:val="20"/>
                <w:lang w:eastAsia="ru-RU"/>
              </w:rPr>
              <w:lastRenderedPageBreak/>
              <w:t>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lastRenderedPageBreak/>
              <w:t>000 1 17 05050 05 0000 180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34,0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0,0</w:t>
            </w:r>
          </w:p>
        </w:tc>
      </w:tr>
      <w:tr w:rsidR="002F61CA" w:rsidRPr="002F61CA" w:rsidTr="000F0388">
        <w:trPr>
          <w:trHeight w:val="24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F61CA" w:rsidRPr="002F61CA" w:rsidRDefault="002F61CA" w:rsidP="002F61CA">
            <w:pPr>
              <w:spacing w:after="0" w:line="240" w:lineRule="auto"/>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lastRenderedPageBreak/>
              <w:t>Прочие неналоговые доходы бюджетов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center"/>
              <w:rPr>
                <w:rFonts w:ascii="Times New Roman" w:eastAsia="Times New Roman" w:hAnsi="Times New Roman" w:cs="Times New Roman"/>
                <w:sz w:val="18"/>
                <w:szCs w:val="18"/>
                <w:lang w:eastAsia="ru-RU"/>
              </w:rPr>
            </w:pPr>
            <w:r w:rsidRPr="002F61CA">
              <w:rPr>
                <w:rFonts w:ascii="Times New Roman" w:eastAsia="Times New Roman" w:hAnsi="Times New Roman" w:cs="Times New Roman"/>
                <w:sz w:val="18"/>
                <w:szCs w:val="18"/>
                <w:lang w:eastAsia="ru-RU"/>
              </w:rPr>
              <w:t>000 1 17 05050 10 0000 180</w:t>
            </w:r>
          </w:p>
        </w:tc>
        <w:tc>
          <w:tcPr>
            <w:tcW w:w="12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sz w:val="20"/>
                <w:szCs w:val="20"/>
                <w:lang w:eastAsia="ru-RU"/>
              </w:rPr>
            </w:pPr>
            <w:r w:rsidRPr="002F61CA">
              <w:rPr>
                <w:rFonts w:ascii="Times New Roman" w:eastAsia="Times New Roman" w:hAnsi="Times New Roman" w:cs="Times New Roman"/>
                <w:sz w:val="20"/>
                <w:szCs w:val="20"/>
                <w:lang w:eastAsia="ru-RU"/>
              </w:rPr>
              <w:t>236,0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631,1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395,1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61CA" w:rsidRPr="002F61CA" w:rsidRDefault="002F61CA" w:rsidP="002F61CA">
            <w:pPr>
              <w:spacing w:after="0" w:line="240" w:lineRule="auto"/>
              <w:jc w:val="right"/>
              <w:rPr>
                <w:rFonts w:ascii="Times New Roman" w:eastAsia="Times New Roman" w:hAnsi="Times New Roman" w:cs="Times New Roman"/>
                <w:color w:val="000000"/>
                <w:sz w:val="20"/>
                <w:szCs w:val="20"/>
                <w:lang w:eastAsia="ru-RU"/>
              </w:rPr>
            </w:pPr>
            <w:r w:rsidRPr="002F61CA">
              <w:rPr>
                <w:rFonts w:ascii="Times New Roman" w:eastAsia="Times New Roman" w:hAnsi="Times New Roman" w:cs="Times New Roman"/>
                <w:color w:val="000000"/>
                <w:sz w:val="20"/>
                <w:szCs w:val="20"/>
                <w:lang w:eastAsia="ru-RU"/>
              </w:rPr>
              <w:t>267,4</w:t>
            </w:r>
          </w:p>
        </w:tc>
      </w:tr>
    </w:tbl>
    <w:p w:rsidR="002F61CA" w:rsidRDefault="002F61CA" w:rsidP="000D6B0B">
      <w:pPr>
        <w:spacing w:after="0" w:line="360" w:lineRule="auto"/>
        <w:ind w:firstLine="709"/>
        <w:jc w:val="both"/>
        <w:rPr>
          <w:rFonts w:ascii="Times New Roman" w:hAnsi="Times New Roman" w:cs="Times New Roman"/>
          <w:sz w:val="28"/>
          <w:szCs w:val="28"/>
        </w:rPr>
      </w:pPr>
    </w:p>
    <w:p w:rsidR="002F61CA" w:rsidRDefault="002F61CA" w:rsidP="000D6B0B">
      <w:pPr>
        <w:spacing w:after="0" w:line="360" w:lineRule="auto"/>
        <w:ind w:firstLine="709"/>
        <w:jc w:val="both"/>
        <w:rPr>
          <w:rFonts w:ascii="Times New Roman" w:hAnsi="Times New Roman" w:cs="Times New Roman"/>
          <w:sz w:val="28"/>
          <w:szCs w:val="28"/>
        </w:rPr>
      </w:pPr>
    </w:p>
    <w:tbl>
      <w:tblPr>
        <w:tblW w:w="10348" w:type="dxa"/>
        <w:tblInd w:w="-459" w:type="dxa"/>
        <w:tblLook w:val="04A0" w:firstRow="1" w:lastRow="0" w:firstColumn="1" w:lastColumn="0" w:noHBand="0" w:noVBand="1"/>
      </w:tblPr>
      <w:tblGrid>
        <w:gridCol w:w="3119"/>
        <w:gridCol w:w="2410"/>
        <w:gridCol w:w="1275"/>
        <w:gridCol w:w="1276"/>
        <w:gridCol w:w="1276"/>
        <w:gridCol w:w="992"/>
      </w:tblGrid>
      <w:tr w:rsidR="000F0388" w:rsidRPr="000F0388" w:rsidTr="000F0388">
        <w:trPr>
          <w:trHeight w:val="300"/>
        </w:trPr>
        <w:tc>
          <w:tcPr>
            <w:tcW w:w="10348" w:type="dxa"/>
            <w:gridSpan w:val="6"/>
            <w:tcBorders>
              <w:top w:val="nil"/>
              <w:left w:val="nil"/>
              <w:bottom w:val="nil"/>
              <w:right w:val="nil"/>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Исполнение республиканского бюджета по налоговым и неналоговым доходам за 2012 год</w:t>
            </w:r>
          </w:p>
        </w:tc>
      </w:tr>
      <w:tr w:rsidR="000F0388" w:rsidRPr="000F0388" w:rsidTr="000F0388">
        <w:trPr>
          <w:trHeight w:val="600"/>
        </w:trPr>
        <w:tc>
          <w:tcPr>
            <w:tcW w:w="3119"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p>
        </w:tc>
        <w:tc>
          <w:tcPr>
            <w:tcW w:w="2410"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p>
        </w:tc>
        <w:tc>
          <w:tcPr>
            <w:tcW w:w="1275"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p>
        </w:tc>
        <w:tc>
          <w:tcPr>
            <w:tcW w:w="1276"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r w:rsidRPr="000F0388">
              <w:rPr>
                <w:rFonts w:ascii="Times New Roman" w:eastAsia="Times New Roman" w:hAnsi="Times New Roman" w:cs="Times New Roman"/>
                <w:color w:val="00000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r w:rsidRPr="000F0388">
              <w:rPr>
                <w:rFonts w:ascii="Times New Roman" w:eastAsia="Times New Roman" w:hAnsi="Times New Roman" w:cs="Times New Roman"/>
                <w:color w:val="000000"/>
                <w:lang w:eastAsia="ru-RU"/>
              </w:rPr>
              <w:t xml:space="preserve">тыс. </w:t>
            </w:r>
          </w:p>
        </w:tc>
        <w:tc>
          <w:tcPr>
            <w:tcW w:w="992"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r w:rsidRPr="000F0388">
              <w:rPr>
                <w:rFonts w:ascii="Times New Roman" w:eastAsia="Times New Roman" w:hAnsi="Times New Roman" w:cs="Times New Roman"/>
                <w:color w:val="000000"/>
                <w:lang w:eastAsia="ru-RU"/>
              </w:rPr>
              <w:t>рублей</w:t>
            </w:r>
          </w:p>
        </w:tc>
      </w:tr>
      <w:tr w:rsidR="000F0388" w:rsidRPr="000F0388" w:rsidTr="000F0388">
        <w:trPr>
          <w:trHeight w:val="78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Наименование дохода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КБК</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План</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Факт</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proofErr w:type="spellStart"/>
            <w:r w:rsidRPr="000F0388">
              <w:rPr>
                <w:rFonts w:ascii="Times New Roman" w:eastAsia="Times New Roman" w:hAnsi="Times New Roman" w:cs="Times New Roman"/>
                <w:b/>
                <w:bCs/>
                <w:color w:val="000000"/>
                <w:lang w:eastAsia="ru-RU"/>
              </w:rPr>
              <w:t>Откл</w:t>
            </w:r>
            <w:proofErr w:type="spellEnd"/>
            <w:r>
              <w:rPr>
                <w:rFonts w:ascii="Times New Roman" w:eastAsia="Times New Roman" w:hAnsi="Times New Roman" w:cs="Times New Roman"/>
                <w:b/>
                <w:bCs/>
                <w:color w:val="00000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 исп.</w:t>
            </w:r>
          </w:p>
        </w:tc>
      </w:tr>
      <w:tr w:rsidR="000F0388" w:rsidRPr="000F0388" w:rsidTr="000F0388">
        <w:trPr>
          <w:trHeight w:val="51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НАЛОГОВЫЕ И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000 1 00 00000 00 0000 000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8 325 656,5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7 612 269,4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-713 387,0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91,4</w:t>
            </w:r>
          </w:p>
        </w:tc>
      </w:tr>
      <w:tr w:rsidR="000F0388" w:rsidRPr="000F0388" w:rsidTr="000F0388">
        <w:trPr>
          <w:trHeight w:val="32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НАЛОГИ НА ПРИБЫЛЬ,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4 800 986,0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4 147 875,6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-653 110,4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86,4</w:t>
            </w:r>
          </w:p>
        </w:tc>
      </w:tr>
      <w:tr w:rsidR="000F0388" w:rsidRPr="000F0388" w:rsidTr="000F0388">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прибыль организаций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000 1 01 01000 00 0000 110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1 763 503,0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665 568,2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-1 097 934,8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37,7</w:t>
            </w:r>
          </w:p>
        </w:tc>
      </w:tr>
      <w:tr w:rsidR="000F0388" w:rsidRPr="000F0388" w:rsidTr="000F0388">
        <w:trPr>
          <w:trHeight w:val="95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прибыль организаций, зачисляемый в бюджеты бюджетной системы Российской Федерации по соответствующим ставкам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000 1 01 01010 00 0000 110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1 763 503,0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665 568,2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-1 097 934,8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37,7</w:t>
            </w:r>
          </w:p>
        </w:tc>
      </w:tr>
      <w:tr w:rsidR="000F0388" w:rsidRPr="000F0388" w:rsidTr="000F0388">
        <w:trPr>
          <w:trHeight w:val="60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прибыль организаций, зачисляемый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000 1 01 01012 02 0000 110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1 763 503,0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665 460,5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-1 098 042,5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37,7</w:t>
            </w:r>
          </w:p>
        </w:tc>
      </w:tr>
      <w:tr w:rsidR="000F0388" w:rsidRPr="000F0388" w:rsidTr="000F0388">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прибыль организаций для сельскохозяйственных товаропроизводителей, не перешедших на систему налогообложения для сельскохозяйственных товаропроизводителей (единый сельскохозяйственный налог), по деятельности, связанной с реализацией произведенной ими сельскохозяйственной продукции, а также с реализацией произведенной и переработанной данными организациями собственной сельскохозяйственной продукции, зачисляемый в бюджеты субъектов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000 1 01 01014 02 0000 110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4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доходы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000 1 01 02000 01 0000 110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3 037 483,0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3 482 307,4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444 824,4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114,6</w:t>
            </w:r>
          </w:p>
        </w:tc>
      </w:tr>
      <w:tr w:rsidR="000F0388" w:rsidRPr="000F0388" w:rsidTr="000F0388">
        <w:trPr>
          <w:trHeight w:val="118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000 1 01 02010 01 0000 110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3 025 989,0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3 450 924,4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424 935,4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114,0</w:t>
            </w:r>
          </w:p>
        </w:tc>
      </w:tr>
      <w:tr w:rsidR="000F0388" w:rsidRPr="000F0388" w:rsidTr="000F0388">
        <w:trPr>
          <w:trHeight w:val="25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000 1 01 02020 01 0000 110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10 676,0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7 539,1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-3 136,9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70,6</w:t>
            </w:r>
          </w:p>
        </w:tc>
      </w:tr>
      <w:tr w:rsidR="000F0388" w:rsidRPr="000F0388" w:rsidTr="000F0388">
        <w:trPr>
          <w:trHeight w:val="102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000 1 01 02030 01 0000 110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22 481,3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22 481,3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90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000 1 01 02040 01 0000 110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818,0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1 362,6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544,6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166,6</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НАЛОГИ НА ТОВАРЫ (РАБОТЫ, УСЛУГИ), РЕАЛИЗУЕМЫЕ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2 874 858,0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2 639 137,8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-235 720,2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91,8</w:t>
            </w:r>
          </w:p>
        </w:tc>
      </w:tr>
      <w:tr w:rsidR="000F0388" w:rsidRPr="000F0388" w:rsidTr="000F0388">
        <w:trPr>
          <w:trHeight w:val="43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Акцизы по подакцизным товарам (продукции), производимым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2 874 858,0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2 639 137,8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-235 720,2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91,8</w:t>
            </w:r>
          </w:p>
        </w:tc>
      </w:tr>
      <w:tr w:rsidR="000F0388" w:rsidRPr="000F0388" w:rsidTr="000F0388">
        <w:trPr>
          <w:trHeight w:val="105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Акцизы на спирт этиловый из всех видов сырья (в том числе этиловый спирт-сырец из всех видов сырья), спирт коньячный, производимый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Акцизы на спирт этиловый (в том числе этиловый спирт-сырец) из пищевого сырья, производимый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000 1 03 02011 01 0000 110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Акцизы на спиртосодержащую продукцию, производимую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4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proofErr w:type="gramStart"/>
            <w:r w:rsidRPr="000F0388">
              <w:rPr>
                <w:rFonts w:ascii="Times New Roman" w:eastAsia="Times New Roman" w:hAnsi="Times New Roman" w:cs="Times New Roman"/>
                <w:sz w:val="20"/>
                <w:szCs w:val="20"/>
                <w:lang w:eastAsia="ru-RU"/>
              </w:rPr>
              <w:lastRenderedPageBreak/>
              <w:t>Акцизы на алкогольную продукцию с объемной долей этилового спирта свыше 9 процентов, в том числе напитки, изготавливаемые на основе пива, произведенные с добавлением спирта этилового (за исключением пива, вин натуральных, в том числе шампанских, игристых, газированных, шипучих, натуральных напитков с объемной долей этилового спирта не более 6 процентов объема готовой продукции, изготовленных из виноматериалов, произведенных без добавления спирта этилового), производимую</w:t>
            </w:r>
            <w:proofErr w:type="gramEnd"/>
            <w:r w:rsidRPr="000F0388">
              <w:rPr>
                <w:rFonts w:ascii="Times New Roman" w:eastAsia="Times New Roman" w:hAnsi="Times New Roman" w:cs="Times New Roman"/>
                <w:sz w:val="20"/>
                <w:szCs w:val="20"/>
                <w:lang w:eastAsia="ru-RU"/>
              </w:rPr>
              <w:t xml:space="preserve">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000 1 03 02110 01 0000 110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600,0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уплаты акцизов на дизельное топливо,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000 1 03 02150 01 0000 110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920 944,0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924 285,2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3 341,2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100,4</w:t>
            </w:r>
          </w:p>
        </w:tc>
      </w:tr>
      <w:tr w:rsidR="000F0388" w:rsidRPr="000F0388" w:rsidTr="000F0388">
        <w:trPr>
          <w:trHeight w:val="183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уплаты акцизов на моторные масла для дизельных и (или) карбюраторных (</w:t>
            </w:r>
            <w:proofErr w:type="spellStart"/>
            <w:r w:rsidRPr="000F0388">
              <w:rPr>
                <w:rFonts w:ascii="Times New Roman" w:eastAsia="Times New Roman" w:hAnsi="Times New Roman" w:cs="Times New Roman"/>
                <w:sz w:val="20"/>
                <w:szCs w:val="20"/>
                <w:lang w:eastAsia="ru-RU"/>
              </w:rPr>
              <w:t>инжекторных</w:t>
            </w:r>
            <w:proofErr w:type="spellEnd"/>
            <w:r w:rsidRPr="000F0388">
              <w:rPr>
                <w:rFonts w:ascii="Times New Roman" w:eastAsia="Times New Roman" w:hAnsi="Times New Roman" w:cs="Times New Roman"/>
                <w:sz w:val="20"/>
                <w:szCs w:val="20"/>
                <w:lang w:eastAsia="ru-RU"/>
              </w:rPr>
              <w:t>) двигателей,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000 1 03 02160 01 0000 110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31 131,0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19 645,5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-11 485,5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63,1</w:t>
            </w:r>
          </w:p>
        </w:tc>
      </w:tr>
      <w:tr w:rsidR="000F0388" w:rsidRPr="000F0388" w:rsidTr="000F0388">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уплаты акцизов на автомобильный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000 1 03 02170 01 0000 110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1 844 821,0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1 610 859,7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-233 961,3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87,3</w:t>
            </w:r>
          </w:p>
        </w:tc>
      </w:tr>
      <w:tr w:rsidR="000F0388" w:rsidRPr="000F0388" w:rsidTr="000F0388">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уплаты акцизов на прямогонный бензин, производимый на территории Российской Федерации, подлежащие распределению в консолидированные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000 1 03 02180 01 0000 110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77 362,0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84 275,3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6 913,3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108,9</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450 696,0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603 792,6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153 096,6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134,0</w:t>
            </w:r>
          </w:p>
        </w:tc>
      </w:tr>
      <w:tr w:rsidR="000F0388" w:rsidRPr="000F0388" w:rsidTr="000F0388">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имущество организаций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000 1 06 02000 02 0000 110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436 862,0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581 395,9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144 533,9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133,1</w:t>
            </w:r>
          </w:p>
        </w:tc>
      </w:tr>
      <w:tr w:rsidR="000F0388" w:rsidRPr="000F0388" w:rsidTr="000F0388">
        <w:trPr>
          <w:trHeight w:val="39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имущество организаций по имуществу, не входящему в Единую систему газоснабжения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000 1 06 02010 02 0000 110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414 949,0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523 773,7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108 824,7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126,2</w:t>
            </w:r>
          </w:p>
        </w:tc>
      </w:tr>
      <w:tr w:rsidR="000F0388" w:rsidRPr="000F0388" w:rsidTr="000F0388">
        <w:trPr>
          <w:trHeight w:val="32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имущество организаций по имуществу, входящему в Единую систему газоснабжения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000 1 06 02020 02 0000 110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21 913,0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57 622,2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35 709,2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263,0</w:t>
            </w:r>
          </w:p>
        </w:tc>
      </w:tr>
      <w:tr w:rsidR="000F0388" w:rsidRPr="000F0388" w:rsidTr="000F0388">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Транспортный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000 1 06 04000 02 0000 110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13 834,0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22 396,7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8 562,7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161,9</w:t>
            </w:r>
          </w:p>
        </w:tc>
      </w:tr>
      <w:tr w:rsidR="000F0388" w:rsidRPr="000F0388" w:rsidTr="000F0388">
        <w:trPr>
          <w:trHeight w:val="22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Транспортный налог с организаций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000 1 06 04011 02 0000 110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4 577,0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8 068,8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3 491,8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176,3</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Транспортный налог с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000 1 06 04012 02 0000 110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9 257,0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14 327,9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5 070,9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154,8</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НАЛОГИ, СБОРЫ И РЕГУЛЯРНЫЕ ПЛАТЕЖИ ЗА ПОЛЬЗОВАНИЕ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000 1 07 00000 00 0000 000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742,0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69,3</w:t>
            </w:r>
          </w:p>
        </w:tc>
      </w:tr>
      <w:tr w:rsidR="000F0388" w:rsidRPr="000F0388" w:rsidTr="000F0388">
        <w:trPr>
          <w:trHeight w:val="21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добычу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000 1 07 01000 01 0000 110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742,0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69,3</w:t>
            </w:r>
          </w:p>
        </w:tc>
      </w:tr>
      <w:tr w:rsidR="000F0388" w:rsidRPr="000F0388" w:rsidTr="000F0388">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добычу общераспространенных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000 1 07 01020 01 0000 110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742,0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-227,9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69,3</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1 861,3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4 693,4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2 832,1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252,2</w:t>
            </w:r>
          </w:p>
        </w:tc>
      </w:tr>
      <w:tr w:rsidR="000F0388" w:rsidRPr="000F0388" w:rsidTr="000F0388">
        <w:trPr>
          <w:trHeight w:val="54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государственную регистрацию, а также за совершение прочих юридически значимых действий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1 861,3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4 693,4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2 832,1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252,2</w:t>
            </w:r>
          </w:p>
        </w:tc>
      </w:tr>
      <w:tr w:rsidR="000F0388" w:rsidRPr="000F0388" w:rsidTr="000F0388">
        <w:trPr>
          <w:trHeight w:val="161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000 1 08 07080 01 0000 110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244,0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1 182,1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938,1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484,5</w:t>
            </w:r>
          </w:p>
        </w:tc>
      </w:tr>
      <w:tr w:rsidR="000F0388" w:rsidRPr="000F0388" w:rsidTr="000F0388">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 зачисляемая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000 1 08 07082 01 0000 110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244,0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1 182,1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938,1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484,5</w:t>
            </w:r>
          </w:p>
        </w:tc>
      </w:tr>
      <w:tr w:rsidR="000F0388" w:rsidRPr="000F0388" w:rsidTr="000F0388">
        <w:trPr>
          <w:trHeight w:val="174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государственную регистрацию межрегиональных, региональных и местных общественных объединений, отделений общественных объединений, а также за государственную регистрацию изменений их учредительных документов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000 1 08 07110 01 0000 110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136,1</w:t>
            </w:r>
          </w:p>
        </w:tc>
      </w:tr>
      <w:tr w:rsidR="000F0388" w:rsidRPr="000F0388" w:rsidTr="000F0388">
        <w:trPr>
          <w:trHeight w:val="5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государственную регистрацию региональных отделений политической партии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000 1 08 07120 01 0000 110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97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а также за выдачу дубликата свидетельства о такой регистрации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000 1 08 07130 01 0000 110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52,1</w:t>
            </w:r>
          </w:p>
        </w:tc>
      </w:tr>
      <w:tr w:rsidR="000F0388" w:rsidRPr="000F0388" w:rsidTr="000F0388">
        <w:trPr>
          <w:trHeight w:val="142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Государственная пошлина за государственную регистрацию транспортных средств и иные юридически значимые действия, связанные с изменениями и выдачей документов на транспортные средства, регистрационных знаков, водительских удостоверений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000 1 08 07140 01 0000 110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1 752,4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1 752,4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6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Государственная пошлина за проведение уполномоченными органами исполнительной власти субъектов РФ государственного технического осмотра, регистрации тракторов, самоходных и иных машин, за выдачу удостоверений тракторист</w:t>
            </w:r>
            <w:proofErr w:type="gramStart"/>
            <w:r w:rsidRPr="000F0388">
              <w:rPr>
                <w:rFonts w:ascii="Times New Roman" w:eastAsia="Times New Roman" w:hAnsi="Times New Roman" w:cs="Times New Roman"/>
                <w:sz w:val="20"/>
                <w:szCs w:val="20"/>
                <w:lang w:eastAsia="ru-RU"/>
              </w:rPr>
              <w:t>а-</w:t>
            </w:r>
            <w:proofErr w:type="gramEnd"/>
            <w:r w:rsidRPr="000F0388">
              <w:rPr>
                <w:rFonts w:ascii="Times New Roman" w:eastAsia="Times New Roman" w:hAnsi="Times New Roman" w:cs="Times New Roman"/>
                <w:sz w:val="20"/>
                <w:szCs w:val="20"/>
                <w:lang w:eastAsia="ru-RU"/>
              </w:rPr>
              <w:t xml:space="preserve"> машиниста (тракториста)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000 1 08 07142 01 0000 110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1 752,4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1 752,4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91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государственные пошлины за совершение прочих юридически значимых действий, подлежащие зачислению в бюджет субъекта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000 1 08 07300 01 0000 110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1 467,3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1 583,1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107,9</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ЗАДОЛЖЕННОСТЬ И ПЕРЕРАСЧЕТЫ ПО ОТМЕНЕННЫМ НАЛОГАМ, СБОРАМ И ИНЫМ ОБЯЗАТЕЛЬНЫМ ПЛАТЕЖАМ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291,4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291,4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43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прибыль организаций, зачислявшийся до 1 января 2005 года в местные бюджеты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000 1 09 01000 00 0000 110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прибыль организаций, зачислявшийся до 1 января 2005 года в местные бюджеты, мобилизуемый на территориях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000 1 09 01030 05 0000 110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8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за пользование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000 1 09 03000 00 0000 110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за добычу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000 1 09 03020 00 0000 110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56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за добычу общераспространенных полезных ископаемых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000 1 09 03021 00 0000 110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за добычу общераспространенных полезных ископаемых, мобилизуемые на территориях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000 1 09 03021 05 0000 110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000 1 09 04000 00 0000 110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180,2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180,2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имущество предприятий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000 1 09 04010 02 0000 110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с владельцев транспортных средств и налог на приобретение автотранспортных средств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000 1 09 04020 02 0000 110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Налог на пользователей автомобильных дорог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000 1 09 04030 01 0000 110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Прочие налоги и сборы (по отмененным налогам и сборам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000 1 09 06000 02 0000 110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43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Сбор на нужды образовательных учреждений, взимаемый с юридических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000 1 09 06020 02 0000 110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налоги и сборы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000 1 09 06030 02 0000 110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55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50 694,0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46 438,6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-4 255,4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91,6</w:t>
            </w:r>
          </w:p>
        </w:tc>
      </w:tr>
      <w:tr w:rsidR="000F0388" w:rsidRPr="000F0388" w:rsidTr="000F0388">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000 1 11 01000 00 0000 120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10 283,2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10 283,2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000 1 11 01020 02 0000 120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10 283,2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10 283,2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5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Проценты, полученные от предоставления бюджетных кредитов внутри страны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000 1 11 03000 00 0000 120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4 996,6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10 868,2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5 871,6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217,5</w:t>
            </w:r>
          </w:p>
        </w:tc>
      </w:tr>
      <w:tr w:rsidR="000F0388" w:rsidRPr="000F0388" w:rsidTr="000F0388">
        <w:trPr>
          <w:trHeight w:val="71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Проценты, полученные от предоставления бюджетных кредитов внутри страны за счет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000 1 11 03020 02 0000 120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4 996,6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10 868,2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5 871,6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217,5</w:t>
            </w:r>
          </w:p>
        </w:tc>
      </w:tr>
      <w:tr w:rsidR="000F0388" w:rsidRPr="000F0388" w:rsidTr="000F0388">
        <w:trPr>
          <w:trHeight w:val="238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10 820,0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23 248,3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12 428,3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214,9</w:t>
            </w:r>
          </w:p>
        </w:tc>
      </w:tr>
      <w:tr w:rsidR="000F0388" w:rsidRPr="000F0388" w:rsidTr="000F0388">
        <w:trPr>
          <w:trHeight w:val="154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000 1 11 05010 00 0000 120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1 240,0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2 622,3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1 382,3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211,5</w:t>
            </w:r>
          </w:p>
        </w:tc>
      </w:tr>
      <w:tr w:rsidR="000F0388" w:rsidRPr="000F0388" w:rsidTr="000F0388">
        <w:trPr>
          <w:trHeight w:val="197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000 1 11 05012 04 0000 120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1 240,0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2 622,3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1 382,3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211,5</w:t>
            </w:r>
          </w:p>
        </w:tc>
      </w:tr>
      <w:tr w:rsidR="000F0388" w:rsidRPr="000F0388" w:rsidTr="000F0388">
        <w:trPr>
          <w:trHeight w:val="193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proofErr w:type="gramStart"/>
            <w:r w:rsidRPr="000F0388">
              <w:rPr>
                <w:rFonts w:ascii="Times New Roman" w:eastAsia="Times New Roman" w:hAnsi="Times New Roman" w:cs="Times New Roman"/>
                <w:sz w:val="20"/>
                <w:szCs w:val="20"/>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000 1 11 05020 00 0000 120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2 580,0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3 275,2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695,2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126,9</w:t>
            </w:r>
          </w:p>
        </w:tc>
      </w:tr>
      <w:tr w:rsidR="000F0388" w:rsidRPr="000F0388" w:rsidTr="000F0388">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proofErr w:type="gramStart"/>
            <w:r w:rsidRPr="000F0388">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000 1 11 05022 02 0000 120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2 580,0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3 275,2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695,2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126,9</w:t>
            </w:r>
          </w:p>
        </w:tc>
      </w:tr>
      <w:tr w:rsidR="000F0388" w:rsidRPr="000F0388" w:rsidTr="000F0388">
        <w:trPr>
          <w:trHeight w:val="165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000 1 11 05030 00 0000 120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7 000,0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17 350,8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10 350,8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247,9</w:t>
            </w:r>
          </w:p>
        </w:tc>
      </w:tr>
      <w:tr w:rsidR="000F0388" w:rsidRPr="000F0388" w:rsidTr="000F0388">
        <w:trPr>
          <w:trHeight w:val="217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бюджетных и автономных учреждений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000 1 11 05032 02 0000 120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7 000,0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17 350,8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10 350,8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247,9</w:t>
            </w:r>
          </w:p>
        </w:tc>
      </w:tr>
      <w:tr w:rsidR="000F0388" w:rsidRPr="000F0388" w:rsidTr="000F0388">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от государственных и муниципальных унитарных предприятий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000 1 11 07000 00 0000 120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34 877,4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2 039,0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-32 838,4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5,8</w:t>
            </w:r>
          </w:p>
        </w:tc>
      </w:tr>
      <w:tr w:rsidR="000F0388" w:rsidRPr="000F0388" w:rsidTr="000F0388">
        <w:trPr>
          <w:trHeight w:val="113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000 1 11 07010 00 0000 120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34 877,4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2 039,0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-32 838,4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5,8</w:t>
            </w:r>
          </w:p>
        </w:tc>
      </w:tr>
      <w:tr w:rsidR="000F0388" w:rsidRPr="000F0388" w:rsidTr="000F0388">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000 1 11 07012 02 0000 120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34 877,4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2 039,0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-32 838,4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5,8</w:t>
            </w:r>
          </w:p>
        </w:tc>
      </w:tr>
      <w:tr w:rsidR="000F0388" w:rsidRPr="000F0388" w:rsidTr="000F0388">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ПРИ ПОЛЬЗОВАНИИ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3 948,0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6 753,7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2 805,7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171,1</w:t>
            </w:r>
          </w:p>
        </w:tc>
      </w:tr>
      <w:tr w:rsidR="000F0388" w:rsidRPr="000F0388" w:rsidTr="000F0388">
        <w:trPr>
          <w:trHeight w:val="35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негативное воздействие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000 1 12 01000 01 0000 120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3 091,0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6 205,0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3 114,0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200,7</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выбросы загрязняющих веществ в атмосферный воздух стационарными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000 1 12 01010 01 0000 120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422,0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465,5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110,3</w:t>
            </w:r>
          </w:p>
        </w:tc>
      </w:tr>
      <w:tr w:rsidR="000F0388" w:rsidRPr="000F0388" w:rsidTr="000F0388">
        <w:trPr>
          <w:trHeight w:val="52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выбросы загрязняющих веществ в атмосферный воздух передвижными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000 1 12 01020 01 0000 120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91,0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144,0</w:t>
            </w:r>
          </w:p>
        </w:tc>
      </w:tr>
      <w:tr w:rsidR="000F0388" w:rsidRPr="000F0388" w:rsidTr="000F0388">
        <w:trPr>
          <w:trHeight w:val="11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сбросы загрязняющих веществ в водные объекты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000 1 12 01030 01 0000 120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284,0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16,4</w:t>
            </w:r>
          </w:p>
        </w:tc>
      </w:tr>
      <w:tr w:rsidR="000F0388" w:rsidRPr="000F0388" w:rsidTr="000F0388">
        <w:trPr>
          <w:trHeight w:val="21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размещение отходов производства и потребления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000 1 12 01040 01 0000 120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2 294,0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5 447,6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3 153,6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237,5</w:t>
            </w:r>
          </w:p>
        </w:tc>
      </w:tr>
      <w:tr w:rsidR="000F0388" w:rsidRPr="000F0388" w:rsidTr="000F0388">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иные виды негативного воздействия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000 1 12 01050 01 0000 120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114,1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Платежи при пользовании недрами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000 1 12 02000 00 0000 120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145,4</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Регулярные платежи за пользование недрами при пользовании недрами (</w:t>
            </w:r>
            <w:proofErr w:type="spellStart"/>
            <w:r w:rsidRPr="000F0388">
              <w:rPr>
                <w:rFonts w:ascii="Times New Roman" w:eastAsia="Times New Roman" w:hAnsi="Times New Roman" w:cs="Times New Roman"/>
                <w:sz w:val="20"/>
                <w:szCs w:val="20"/>
                <w:lang w:eastAsia="ru-RU"/>
              </w:rPr>
              <w:t>ренталс</w:t>
            </w:r>
            <w:proofErr w:type="spellEnd"/>
            <w:r w:rsidRPr="000F0388">
              <w:rPr>
                <w:rFonts w:ascii="Times New Roman" w:eastAsia="Times New Roman" w:hAnsi="Times New Roman" w:cs="Times New Roman"/>
                <w:sz w:val="20"/>
                <w:szCs w:val="20"/>
                <w:lang w:eastAsia="ru-RU"/>
              </w:rPr>
              <w:t>) на территории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000 1 12 02030 01 0000 120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145,4</w:t>
            </w:r>
          </w:p>
        </w:tc>
      </w:tr>
      <w:tr w:rsidR="000F0388" w:rsidRPr="000F0388" w:rsidTr="000F0388">
        <w:trPr>
          <w:trHeight w:val="18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использование лесов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000 1 12 04000 00 0000 120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837,0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519,6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-317,4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62,1</w:t>
            </w:r>
          </w:p>
        </w:tc>
      </w:tr>
      <w:tr w:rsidR="000F0388" w:rsidRPr="000F0388" w:rsidTr="000F0388">
        <w:trPr>
          <w:trHeight w:val="108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использование лесов в части, превышающей минимальный размер арендной платы и минимальный размер платы по договору купли-продажи лесных насаждений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000 1 12 04020 02 0000 120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692,0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66,8</w:t>
            </w:r>
          </w:p>
        </w:tc>
      </w:tr>
      <w:tr w:rsidR="000F0388" w:rsidRPr="000F0388" w:rsidTr="000F0388">
        <w:trPr>
          <w:trHeight w:val="85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за использование лесов в части, превышающей минимальный размер арендной платы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000 1 12 04022 02 0000 120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692,0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-230,0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66,8</w:t>
            </w:r>
          </w:p>
        </w:tc>
      </w:tr>
      <w:tr w:rsidR="000F0388" w:rsidRPr="000F0388" w:rsidTr="000F0388">
        <w:trPr>
          <w:trHeight w:val="4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Плата по договору купли-продажи лесных насаждений для собственных нужд</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000 1 12 04060 02 0000 120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145,0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39,7</w:t>
            </w:r>
          </w:p>
        </w:tc>
      </w:tr>
      <w:tr w:rsidR="000F0388" w:rsidRPr="000F0388" w:rsidTr="000F0388">
        <w:trPr>
          <w:trHeight w:val="55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ОКАЗАНИЯ ПЛАТНЫХ УСЛУГ (РАБОТ) И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116 025,2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127 980,3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11 955,2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110,3</w:t>
            </w:r>
          </w:p>
        </w:tc>
      </w:tr>
      <w:tr w:rsidR="000F0388" w:rsidRPr="000F0388" w:rsidTr="000F0388">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000 1 13 01000 00 0000 130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8 752,3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11 122,8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2 370,4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127,1</w:t>
            </w:r>
          </w:p>
        </w:tc>
      </w:tr>
      <w:tr w:rsidR="000F0388" w:rsidRPr="000F0388" w:rsidTr="000F0388">
        <w:trPr>
          <w:trHeight w:val="5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000 1 13 01990 00 0000 130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8 752,3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11 122,8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2 370,4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127,1</w:t>
            </w:r>
          </w:p>
        </w:tc>
      </w:tr>
      <w:tr w:rsidR="000F0388" w:rsidRPr="000F0388" w:rsidTr="000F0388">
        <w:trPr>
          <w:trHeight w:val="103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000 1 13 01992 02 0000 130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8 752,3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11 122,8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2 370,4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127,1</w:t>
            </w:r>
          </w:p>
        </w:tc>
      </w:tr>
      <w:tr w:rsidR="000F0388" w:rsidRPr="000F0388" w:rsidTr="000F0388">
        <w:trPr>
          <w:trHeight w:val="44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000 1 13 02000 00 0000 130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107 272,9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116 857,6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9 584,7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108,9</w:t>
            </w:r>
          </w:p>
        </w:tc>
      </w:tr>
      <w:tr w:rsidR="000F0388" w:rsidRPr="000F0388" w:rsidTr="000F0388">
        <w:trPr>
          <w:trHeight w:val="20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000 1 13 02990 00 0000 130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107 272,9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116 857,6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9 584,7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108,9</w:t>
            </w:r>
          </w:p>
        </w:tc>
      </w:tr>
      <w:tr w:rsidR="000F0388" w:rsidRPr="000F0388" w:rsidTr="000F0388">
        <w:trPr>
          <w:trHeight w:val="58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доходы от компенсации затрат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000 1 13 02992 02 0000 130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107 272,9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116 857,6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9 584,7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108,9</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ПРОДАЖИ МАТЕРИАЛЬНЫХ И НЕМАТЕРИАЛЬНЫХ АКТИВОВ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9 840,0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7 708,0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-2 132,0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78,3</w:t>
            </w:r>
          </w:p>
        </w:tc>
      </w:tr>
      <w:tr w:rsidR="000F0388" w:rsidRPr="000F0388" w:rsidTr="000F0388">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000 1 14 02000 00 0000 000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7 288,0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5 437,1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-1 850,9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74,6</w:t>
            </w:r>
          </w:p>
        </w:tc>
      </w:tr>
      <w:tr w:rsidR="000F0388" w:rsidRPr="000F0388" w:rsidTr="000F0388">
        <w:trPr>
          <w:trHeight w:val="3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реализации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000 1 14 02020 02 0000 410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7 288,0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5 437,1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-1 850,9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74,6</w:t>
            </w:r>
          </w:p>
        </w:tc>
      </w:tr>
      <w:tr w:rsidR="000F0388" w:rsidRPr="000F0388" w:rsidTr="000F0388">
        <w:trPr>
          <w:trHeight w:val="30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государственной власти субъектов Российской Федерации (за исключением имущества бюджетных и автономных учреждений субъектов Российской Федерации),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000 1 14 02022 02 0000 410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4 500,0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4 942,1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442,1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109,8</w:t>
            </w:r>
          </w:p>
        </w:tc>
      </w:tr>
      <w:tr w:rsidR="000F0388" w:rsidRPr="000F0388" w:rsidTr="000F0388">
        <w:trPr>
          <w:trHeight w:val="3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Доходы от реализации иного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000 1 14 02023 02 0000 410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2 788,0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495,0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-2 293,0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17,8</w:t>
            </w:r>
          </w:p>
        </w:tc>
      </w:tr>
      <w:tr w:rsidR="000F0388" w:rsidRPr="000F0388" w:rsidTr="000F0388">
        <w:trPr>
          <w:trHeight w:val="12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000 1 14 06000 00 0000 430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2 552,0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2 270,9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-281,1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89,0</w:t>
            </w:r>
          </w:p>
        </w:tc>
      </w:tr>
      <w:tr w:rsidR="000F0388" w:rsidRPr="000F0388" w:rsidTr="000F0388">
        <w:trPr>
          <w:trHeight w:val="99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000 1 14 06020 00 0000 430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2 552,0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2 270,9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-281,1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89,0</w:t>
            </w:r>
          </w:p>
        </w:tc>
      </w:tr>
      <w:tr w:rsidR="000F0388" w:rsidRPr="000F0388" w:rsidTr="000F0388">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продажи земельных участков, находящихся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000 1 14 06022 02 0000 430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2 552,0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2 270,9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-281,1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89,0</w:t>
            </w:r>
          </w:p>
        </w:tc>
      </w:tr>
      <w:tr w:rsidR="000F0388" w:rsidRPr="000F0388" w:rsidTr="000F0388">
        <w:trPr>
          <w:trHeight w:val="22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ШТРАФЫ, САНКЦИИ,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15 881,0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26 751,0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10 870,0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168,4</w:t>
            </w:r>
          </w:p>
        </w:tc>
      </w:tr>
      <w:tr w:rsidR="000F0388" w:rsidRPr="000F0388" w:rsidTr="000F0388">
        <w:trPr>
          <w:trHeight w:val="174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антимонопольного законодательства в сфере конкуренции на товарных рынках, защиты конкуренции на рынке финансовых услуг, законодательства о естественных монополиях и законодательства о государственном регулировании цен (тарифов)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000 1 16 02000 00 0000 140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750,0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1 160,6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410,6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154,7</w:t>
            </w:r>
          </w:p>
        </w:tc>
      </w:tr>
      <w:tr w:rsidR="000F0388" w:rsidRPr="000F0388" w:rsidTr="000F0388">
        <w:trPr>
          <w:trHeight w:val="22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 Российской Федерации, налагаемые органами исполнительной власти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000 1 16 02030 02 0000 140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750,0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1 160,6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410,6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154,7</w:t>
            </w:r>
          </w:p>
        </w:tc>
      </w:tr>
      <w:tr w:rsidR="000F0388" w:rsidRPr="000F0388" w:rsidTr="000F0388">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 xml:space="preserve">Денежные взыскания (штрафы) за нарушение законодательства о </w:t>
            </w:r>
            <w:r w:rsidRPr="000F0388">
              <w:rPr>
                <w:rFonts w:ascii="Times New Roman" w:eastAsia="Times New Roman" w:hAnsi="Times New Roman" w:cs="Times New Roman"/>
                <w:sz w:val="20"/>
                <w:szCs w:val="20"/>
                <w:lang w:eastAsia="ru-RU"/>
              </w:rPr>
              <w:lastRenderedPageBreak/>
              <w:t>налогах и сборах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lastRenderedPageBreak/>
              <w:t>000 1 16 03000 00 0000 140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31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Денежные взыскания (штрафы) за нарушение законодательства о налогах и сборах, предусмотренные статьей 1292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000 1 16 03020 02 0000 140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197,2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76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000 1 16 21000 00 0000 140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600,0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-286,4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52,3</w:t>
            </w:r>
          </w:p>
        </w:tc>
      </w:tr>
      <w:tr w:rsidR="000F0388" w:rsidRPr="000F0388" w:rsidTr="000F0388">
        <w:trPr>
          <w:trHeight w:val="102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000 1 16 21020 02 0000 140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600,0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-286,4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52,3</w:t>
            </w:r>
          </w:p>
        </w:tc>
      </w:tr>
      <w:tr w:rsidR="000F0388" w:rsidRPr="000F0388" w:rsidTr="000F0388">
        <w:trPr>
          <w:trHeight w:val="26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возмещения ущерба при возникновении страховых случаев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96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возмещения ущерба при возникновении страховых случаев, когда выгодоприобретателями выступают получатели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000 1 16 23020 02 0000 140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34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Доходы от возмещения ущерба при возникновении иных страховых случаев, когда выгодоприобретателями выступают получатели средств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000 1 16 23022 02 0000 140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99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000 1 16 25000 00 0000 140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1 056,5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1 046,5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10 565,0</w:t>
            </w:r>
          </w:p>
        </w:tc>
      </w:tr>
      <w:tr w:rsidR="000F0388" w:rsidRPr="000F0388" w:rsidTr="000F0388">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водного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000 1 16 25080 00 0000 140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1 056,5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1 046,5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10 565,0</w:t>
            </w:r>
          </w:p>
        </w:tc>
      </w:tr>
      <w:tr w:rsidR="000F0388" w:rsidRPr="000F0388" w:rsidTr="000F0388">
        <w:trPr>
          <w:trHeight w:val="107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водного законодательства на водных объектах, находящихся в собственности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000 1 16 25082 02 0000 140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1 056,5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1 046,5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10 565,0</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Федерального закона "О пожарной безопасности"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000 1 16 27000 01 0000 140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2 680,0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5 791,1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3 111,1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216,1</w:t>
            </w:r>
          </w:p>
        </w:tc>
      </w:tr>
      <w:tr w:rsidR="000F0388" w:rsidRPr="000F0388" w:rsidTr="000F0388">
        <w:trPr>
          <w:trHeight w:val="55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lastRenderedPageBreak/>
              <w:t>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000 1 16 30000 01 0000 140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9 254,0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12 653,7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3 399,7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136,7</w:t>
            </w:r>
          </w:p>
        </w:tc>
      </w:tr>
      <w:tr w:rsidR="000F0388" w:rsidRPr="000F0388" w:rsidTr="000F0388">
        <w:trPr>
          <w:trHeight w:val="113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000 1 16 30010 01 0000 140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30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правил перевозки крупногабаритных и тяжеловесных грузов по автомобильным дорогам общего пользования регионального или межмуниципального значения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000 1 16 30012 01 0000 140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безопасности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000 1 16 30020 01 0000 140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9 254,0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12 652,6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3 398,6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136,7</w:t>
            </w:r>
          </w:p>
        </w:tc>
      </w:tr>
      <w:tr w:rsidR="000F0388" w:rsidRPr="000F0388" w:rsidTr="000F0388">
        <w:trPr>
          <w:trHeight w:val="13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000 1 16 33000 00 0000 140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2 018,0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4 286,9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2 268,9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212,4</w:t>
            </w:r>
          </w:p>
        </w:tc>
      </w:tr>
      <w:tr w:rsidR="000F0388" w:rsidRPr="000F0388" w:rsidTr="000F0388">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000 1 16 33020 02 0000 140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2 018,0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4 286,9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2 268,9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212,4</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000 1 16 90000 00 0000 140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569,0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1 161,2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592,2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204,1</w:t>
            </w:r>
          </w:p>
        </w:tc>
      </w:tr>
      <w:tr w:rsidR="000F0388" w:rsidRPr="000F0388" w:rsidTr="000F0388">
        <w:trPr>
          <w:trHeight w:val="125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 зачисляемые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000 1 16 90020 02 0000 140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569,0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1 161,2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592,2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204,1</w:t>
            </w:r>
          </w:p>
        </w:tc>
      </w:tr>
      <w:tr w:rsidR="000F0388" w:rsidRPr="000F0388" w:rsidTr="000F0388">
        <w:trPr>
          <w:trHeight w:val="15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000 1 17 00000 00 0000 000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125,0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332,8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207,8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266,3</w:t>
            </w:r>
          </w:p>
        </w:tc>
      </w:tr>
      <w:tr w:rsidR="000F0388" w:rsidRPr="000F0388" w:rsidTr="000F0388">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Невыясненные поступления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000 1 17 01000 00 0000 180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Невыясненные поступления, зачисляемые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000 1 17 01020 02 0000 180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175,8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0,0</w:t>
            </w:r>
          </w:p>
        </w:tc>
      </w:tr>
      <w:tr w:rsidR="000F0388" w:rsidRPr="000F0388" w:rsidTr="000F0388">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000 1 17 05000 00 0000 180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125,0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125,6</w:t>
            </w:r>
          </w:p>
        </w:tc>
      </w:tr>
      <w:tr w:rsidR="000F0388" w:rsidRPr="000F0388" w:rsidTr="000F0388">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0F0388" w:rsidRDefault="000F0388" w:rsidP="000F0388">
            <w:pPr>
              <w:spacing w:after="0" w:line="240" w:lineRule="auto"/>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Прочие неналоговые доходы бюджетов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sz w:val="18"/>
                <w:szCs w:val="18"/>
                <w:lang w:eastAsia="ru-RU"/>
              </w:rPr>
            </w:pPr>
            <w:r w:rsidRPr="000F0388">
              <w:rPr>
                <w:rFonts w:ascii="Times New Roman" w:eastAsia="Times New Roman" w:hAnsi="Times New Roman" w:cs="Times New Roman"/>
                <w:sz w:val="18"/>
                <w:szCs w:val="18"/>
                <w:lang w:eastAsia="ru-RU"/>
              </w:rPr>
              <w:t>000 1 17 05020 02 0000 180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sz w:val="20"/>
                <w:szCs w:val="20"/>
                <w:lang w:eastAsia="ru-RU"/>
              </w:rPr>
            </w:pPr>
            <w:r w:rsidRPr="000F0388">
              <w:rPr>
                <w:rFonts w:ascii="Times New Roman" w:eastAsia="Times New Roman" w:hAnsi="Times New Roman" w:cs="Times New Roman"/>
                <w:sz w:val="20"/>
                <w:szCs w:val="20"/>
                <w:lang w:eastAsia="ru-RU"/>
              </w:rPr>
              <w:t>125,0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157,1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32,1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0F0388"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0F0388">
              <w:rPr>
                <w:rFonts w:ascii="Times New Roman" w:eastAsia="Times New Roman" w:hAnsi="Times New Roman" w:cs="Times New Roman"/>
                <w:color w:val="000000"/>
                <w:sz w:val="20"/>
                <w:szCs w:val="20"/>
                <w:lang w:eastAsia="ru-RU"/>
              </w:rPr>
              <w:t>125,6</w:t>
            </w:r>
          </w:p>
        </w:tc>
      </w:tr>
    </w:tbl>
    <w:p w:rsidR="000F0388" w:rsidRDefault="000F0388" w:rsidP="000D6B0B">
      <w:pPr>
        <w:spacing w:after="0" w:line="360" w:lineRule="auto"/>
        <w:ind w:firstLine="709"/>
        <w:jc w:val="both"/>
        <w:rPr>
          <w:rFonts w:ascii="Times New Roman" w:hAnsi="Times New Roman" w:cs="Times New Roman"/>
          <w:sz w:val="28"/>
          <w:szCs w:val="28"/>
        </w:rPr>
      </w:pPr>
    </w:p>
    <w:p w:rsidR="000F0388" w:rsidRDefault="000F0388" w:rsidP="000D6B0B">
      <w:pPr>
        <w:spacing w:after="0" w:line="360" w:lineRule="auto"/>
        <w:ind w:firstLine="709"/>
        <w:jc w:val="both"/>
        <w:rPr>
          <w:rFonts w:ascii="Times New Roman" w:hAnsi="Times New Roman" w:cs="Times New Roman"/>
          <w:sz w:val="28"/>
          <w:szCs w:val="28"/>
        </w:rPr>
      </w:pPr>
    </w:p>
    <w:p w:rsidR="009531C5" w:rsidRDefault="009531C5" w:rsidP="000D6B0B">
      <w:pPr>
        <w:spacing w:after="0" w:line="360" w:lineRule="auto"/>
        <w:ind w:firstLine="709"/>
        <w:jc w:val="both"/>
        <w:rPr>
          <w:rFonts w:ascii="Times New Roman" w:hAnsi="Times New Roman" w:cs="Times New Roman"/>
          <w:sz w:val="28"/>
          <w:szCs w:val="28"/>
        </w:rPr>
      </w:pPr>
    </w:p>
    <w:tbl>
      <w:tblPr>
        <w:tblW w:w="10348" w:type="dxa"/>
        <w:tblInd w:w="-459" w:type="dxa"/>
        <w:tblLook w:val="04A0" w:firstRow="1" w:lastRow="0" w:firstColumn="1" w:lastColumn="0" w:noHBand="0" w:noVBand="1"/>
      </w:tblPr>
      <w:tblGrid>
        <w:gridCol w:w="3119"/>
        <w:gridCol w:w="2410"/>
        <w:gridCol w:w="1275"/>
        <w:gridCol w:w="1276"/>
        <w:gridCol w:w="1276"/>
        <w:gridCol w:w="992"/>
      </w:tblGrid>
      <w:tr w:rsidR="000F0388" w:rsidRPr="000F0388" w:rsidTr="009531C5">
        <w:trPr>
          <w:trHeight w:val="300"/>
        </w:trPr>
        <w:tc>
          <w:tcPr>
            <w:tcW w:w="10348" w:type="dxa"/>
            <w:gridSpan w:val="6"/>
            <w:tcBorders>
              <w:top w:val="nil"/>
              <w:left w:val="nil"/>
              <w:bottom w:val="nil"/>
              <w:right w:val="nil"/>
            </w:tcBorders>
            <w:shd w:val="clear" w:color="auto" w:fill="auto"/>
            <w:noWrap/>
            <w:vAlign w:val="bottom"/>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lastRenderedPageBreak/>
              <w:t>Исполнение бюджетов городских округов по налоговым и неналоговым доходам за 2012 год</w:t>
            </w:r>
          </w:p>
        </w:tc>
      </w:tr>
      <w:tr w:rsidR="000F0388" w:rsidRPr="000F0388" w:rsidTr="009531C5">
        <w:trPr>
          <w:trHeight w:val="750"/>
        </w:trPr>
        <w:tc>
          <w:tcPr>
            <w:tcW w:w="3119"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p>
        </w:tc>
        <w:tc>
          <w:tcPr>
            <w:tcW w:w="2410"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p>
        </w:tc>
        <w:tc>
          <w:tcPr>
            <w:tcW w:w="1275" w:type="dxa"/>
            <w:tcBorders>
              <w:top w:val="nil"/>
              <w:left w:val="nil"/>
              <w:bottom w:val="single" w:sz="4" w:space="0" w:color="auto"/>
              <w:right w:val="nil"/>
            </w:tcBorders>
            <w:shd w:val="clear" w:color="auto" w:fill="auto"/>
            <w:noWrap/>
            <w:vAlign w:val="bottom"/>
            <w:hideMark/>
          </w:tcPr>
          <w:p w:rsidR="000F0388" w:rsidRPr="000F0388" w:rsidRDefault="000F0388" w:rsidP="000F0388">
            <w:pPr>
              <w:spacing w:after="0" w:line="240" w:lineRule="auto"/>
              <w:rPr>
                <w:rFonts w:ascii="Times New Roman" w:eastAsia="Times New Roman" w:hAnsi="Times New Roman" w:cs="Times New Roman"/>
                <w:color w:val="000000"/>
                <w:lang w:eastAsia="ru-RU"/>
              </w:rPr>
            </w:pPr>
          </w:p>
        </w:tc>
        <w:tc>
          <w:tcPr>
            <w:tcW w:w="1276" w:type="dxa"/>
            <w:tcBorders>
              <w:top w:val="nil"/>
              <w:left w:val="nil"/>
              <w:bottom w:val="single" w:sz="4" w:space="0" w:color="auto"/>
              <w:right w:val="nil"/>
            </w:tcBorders>
            <w:shd w:val="clear" w:color="auto" w:fill="auto"/>
            <w:noWrap/>
            <w:vAlign w:val="bottom"/>
            <w:hideMark/>
          </w:tcPr>
          <w:p w:rsidR="000F0388" w:rsidRPr="009531C5" w:rsidRDefault="000F0388" w:rsidP="000F0388">
            <w:pPr>
              <w:spacing w:after="0" w:line="240" w:lineRule="auto"/>
              <w:rPr>
                <w:rFonts w:ascii="Times New Roman" w:eastAsia="Times New Roman" w:hAnsi="Times New Roman" w:cs="Times New Roman"/>
                <w:b/>
                <w:color w:val="000000"/>
                <w:lang w:eastAsia="ru-RU"/>
              </w:rPr>
            </w:pPr>
            <w:r w:rsidRPr="009531C5">
              <w:rPr>
                <w:rFonts w:ascii="Times New Roman" w:eastAsia="Times New Roman" w:hAnsi="Times New Roman" w:cs="Times New Roman"/>
                <w:b/>
                <w:color w:val="00000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0F0388" w:rsidRPr="009531C5" w:rsidRDefault="000F0388" w:rsidP="009531C5">
            <w:pPr>
              <w:spacing w:after="0" w:line="240" w:lineRule="auto"/>
              <w:jc w:val="right"/>
              <w:rPr>
                <w:rFonts w:ascii="Times New Roman" w:eastAsia="Times New Roman" w:hAnsi="Times New Roman" w:cs="Times New Roman"/>
                <w:b/>
                <w:color w:val="000000"/>
                <w:lang w:eastAsia="ru-RU"/>
              </w:rPr>
            </w:pPr>
            <w:r w:rsidRPr="009531C5">
              <w:rPr>
                <w:rFonts w:ascii="Times New Roman" w:eastAsia="Times New Roman" w:hAnsi="Times New Roman" w:cs="Times New Roman"/>
                <w:b/>
                <w:color w:val="000000"/>
                <w:lang w:eastAsia="ru-RU"/>
              </w:rPr>
              <w:t xml:space="preserve">тыс. </w:t>
            </w:r>
          </w:p>
        </w:tc>
        <w:tc>
          <w:tcPr>
            <w:tcW w:w="992" w:type="dxa"/>
            <w:tcBorders>
              <w:top w:val="nil"/>
              <w:left w:val="nil"/>
              <w:bottom w:val="single" w:sz="4" w:space="0" w:color="auto"/>
              <w:right w:val="nil"/>
            </w:tcBorders>
            <w:shd w:val="clear" w:color="auto" w:fill="auto"/>
            <w:noWrap/>
            <w:vAlign w:val="bottom"/>
            <w:hideMark/>
          </w:tcPr>
          <w:p w:rsidR="000F0388" w:rsidRPr="009531C5" w:rsidRDefault="009531C5" w:rsidP="000F0388">
            <w:pPr>
              <w:spacing w:after="0" w:line="240" w:lineRule="auto"/>
              <w:rPr>
                <w:rFonts w:ascii="Times New Roman" w:eastAsia="Times New Roman" w:hAnsi="Times New Roman" w:cs="Times New Roman"/>
                <w:b/>
                <w:color w:val="000000"/>
                <w:lang w:eastAsia="ru-RU"/>
              </w:rPr>
            </w:pPr>
            <w:r w:rsidRPr="009531C5">
              <w:rPr>
                <w:rFonts w:ascii="Times New Roman" w:eastAsia="Times New Roman" w:hAnsi="Times New Roman" w:cs="Times New Roman"/>
                <w:b/>
                <w:color w:val="000000"/>
                <w:lang w:eastAsia="ru-RU"/>
              </w:rPr>
              <w:t>рублей</w:t>
            </w:r>
          </w:p>
        </w:tc>
      </w:tr>
      <w:tr w:rsidR="000F0388" w:rsidRPr="000F0388" w:rsidTr="009531C5">
        <w:trPr>
          <w:trHeight w:val="645"/>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Наименование дохода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КБК</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План</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Факт</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9531C5">
            <w:pPr>
              <w:spacing w:after="0" w:line="240" w:lineRule="auto"/>
              <w:jc w:val="center"/>
              <w:rPr>
                <w:rFonts w:ascii="Times New Roman" w:eastAsia="Times New Roman" w:hAnsi="Times New Roman" w:cs="Times New Roman"/>
                <w:b/>
                <w:bCs/>
                <w:color w:val="000000"/>
                <w:lang w:eastAsia="ru-RU"/>
              </w:rPr>
            </w:pPr>
            <w:proofErr w:type="spellStart"/>
            <w:r w:rsidRPr="000F0388">
              <w:rPr>
                <w:rFonts w:ascii="Times New Roman" w:eastAsia="Times New Roman" w:hAnsi="Times New Roman" w:cs="Times New Roman"/>
                <w:b/>
                <w:bCs/>
                <w:color w:val="000000"/>
                <w:lang w:eastAsia="ru-RU"/>
              </w:rPr>
              <w:t>Откл</w:t>
            </w:r>
            <w:proofErr w:type="spellEnd"/>
            <w:r w:rsidR="009531C5">
              <w:rPr>
                <w:rFonts w:ascii="Times New Roman" w:eastAsia="Times New Roman" w:hAnsi="Times New Roman" w:cs="Times New Roman"/>
                <w:b/>
                <w:bCs/>
                <w:color w:val="00000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0388" w:rsidRPr="000F0388" w:rsidRDefault="000F0388" w:rsidP="000F0388">
            <w:pPr>
              <w:spacing w:after="0" w:line="240" w:lineRule="auto"/>
              <w:jc w:val="center"/>
              <w:rPr>
                <w:rFonts w:ascii="Times New Roman" w:eastAsia="Times New Roman" w:hAnsi="Times New Roman" w:cs="Times New Roman"/>
                <w:b/>
                <w:bCs/>
                <w:color w:val="000000"/>
                <w:lang w:eastAsia="ru-RU"/>
              </w:rPr>
            </w:pPr>
            <w:r w:rsidRPr="000F0388">
              <w:rPr>
                <w:rFonts w:ascii="Times New Roman" w:eastAsia="Times New Roman" w:hAnsi="Times New Roman" w:cs="Times New Roman"/>
                <w:b/>
                <w:bCs/>
                <w:color w:val="000000"/>
                <w:lang w:eastAsia="ru-RU"/>
              </w:rPr>
              <w:t>% исп.</w:t>
            </w:r>
          </w:p>
        </w:tc>
      </w:tr>
      <w:tr w:rsidR="000F0388" w:rsidRPr="009531C5" w:rsidTr="009531C5">
        <w:trPr>
          <w:trHeight w:val="26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НАЛОГОВЫЕ И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000 1 00 00000 00 0000 000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2 005 775,6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2 080 911,5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75 135,9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103,7</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ПРИБЫЛЬ,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1 789 838,2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1 861 346,9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71 508,7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104,0</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1 789 838,2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1 861 346,9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71 508,7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104,0</w:t>
            </w:r>
          </w:p>
        </w:tc>
      </w:tr>
      <w:tr w:rsidR="000F0388" w:rsidRPr="009531C5" w:rsidTr="009531C5">
        <w:trPr>
          <w:trHeight w:val="150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1 784 839,2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1 856 377,8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71 538,6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104,0</w:t>
            </w:r>
          </w:p>
        </w:tc>
      </w:tr>
      <w:tr w:rsidR="000F0388" w:rsidRPr="009531C5" w:rsidTr="009531C5">
        <w:trPr>
          <w:trHeight w:val="253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9531C5">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РФ</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4 335,0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2 474,6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-1 860,4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57,1</w:t>
            </w:r>
          </w:p>
        </w:tc>
      </w:tr>
      <w:tr w:rsidR="000F0388" w:rsidRPr="009531C5" w:rsidTr="009531C5">
        <w:trPr>
          <w:trHeight w:val="91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 с доходов, полученных физическими лицами в соответствии со статьей 228 Налогового Кодекса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000 1 01 02030 01 0000 110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1 971,7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1 971,7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174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000 1 01 02040 01 0000 110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664,0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522,8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78,7</w:t>
            </w:r>
          </w:p>
        </w:tc>
      </w:tr>
      <w:tr w:rsidR="000F0388" w:rsidRPr="009531C5" w:rsidTr="009531C5">
        <w:trPr>
          <w:trHeight w:val="6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СОВОКУПНЫЙ ДОХОД</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55 499,0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62 436,0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6 937,0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112,5</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35 880,0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44 585,5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8 705,5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124,3</w:t>
            </w:r>
          </w:p>
        </w:tc>
      </w:tr>
      <w:tr w:rsidR="000F0388" w:rsidRPr="009531C5" w:rsidTr="009531C5">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19 938,0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15 884,7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-4 053,3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79,7</w:t>
            </w:r>
          </w:p>
        </w:tc>
      </w:tr>
      <w:tr w:rsidR="000F0388" w:rsidRPr="009531C5" w:rsidTr="009531C5">
        <w:trPr>
          <w:trHeight w:val="55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000 1 05 01011 01 0000 110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19 938,0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17 339,3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-2 598,7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87,0</w:t>
            </w:r>
          </w:p>
        </w:tc>
      </w:tr>
      <w:tr w:rsidR="000F0388" w:rsidRPr="009531C5" w:rsidTr="009531C5">
        <w:trPr>
          <w:trHeight w:val="105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000 1 05 01012 01 0000 110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-1 454,6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-1 454,6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92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15 205,0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16 178,0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973,0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106,4</w:t>
            </w:r>
          </w:p>
        </w:tc>
      </w:tr>
      <w:tr w:rsidR="000F0388" w:rsidRPr="009531C5" w:rsidTr="009531C5">
        <w:trPr>
          <w:trHeight w:val="3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000 1 05 01021 01 0000 110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15 205,0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15 409,2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204,2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101,3</w:t>
            </w:r>
          </w:p>
        </w:tc>
      </w:tr>
      <w:tr w:rsidR="000F0388" w:rsidRPr="009531C5" w:rsidTr="009531C5">
        <w:trPr>
          <w:trHeight w:val="84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000 1 05 01022 01 0000 110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768,8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768,8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000 1 05 01040 02 0000 110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261,0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96,3</w:t>
            </w:r>
          </w:p>
        </w:tc>
      </w:tr>
      <w:tr w:rsidR="000F0388" w:rsidRPr="009531C5" w:rsidTr="009531C5">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000 1 05 01041 02 0000 110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261,0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201,9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77,4</w:t>
            </w:r>
          </w:p>
        </w:tc>
      </w:tr>
      <w:tr w:rsidR="000F0388" w:rsidRPr="009531C5" w:rsidTr="009531C5">
        <w:trPr>
          <w:trHeight w:val="62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000 1 05 01042 02 0000 110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37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Минимальный налог, зачисляемый в бюджеты субъектов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000 1 05 01050 01 0000 110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476,0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12 271,3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11 795,3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2 578,0</w:t>
            </w:r>
          </w:p>
        </w:tc>
      </w:tr>
      <w:tr w:rsidR="000F0388" w:rsidRPr="009531C5" w:rsidTr="009531C5">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налог на вмененный доход для отдельных видов деятельности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000 1 05 02000 02 0000 110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19 491,0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17 719,5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-1 771,5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90,9</w:t>
            </w:r>
          </w:p>
        </w:tc>
      </w:tr>
      <w:tr w:rsidR="000F0388" w:rsidRPr="009531C5" w:rsidTr="009531C5">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налог на вмененный доход для отдельных видов деятельности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000 1 05 02010 02 0000 110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19 491,0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17 383,1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-2 107,9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89,2</w:t>
            </w:r>
          </w:p>
        </w:tc>
      </w:tr>
      <w:tr w:rsidR="000F0388" w:rsidRPr="009531C5" w:rsidTr="009531C5">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налог на вмененный доход для отдельных видов деятельности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000 1 05 02020 02 0000 110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336,4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336,4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000 1 05 03000 01 0000 110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102,4</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000 1 05 03010 01 0000 110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87,5</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Единый сельскохозяйственный налог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000 1 05 03020 01 0000 110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19,1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63 447,0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46 958,4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-16 488,6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74,0</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имущество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000 1 06 01000 00 0000 110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1 709,0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2 072,9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363,9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121,3</w:t>
            </w:r>
          </w:p>
        </w:tc>
      </w:tr>
      <w:tr w:rsidR="000F0388" w:rsidRPr="009531C5" w:rsidTr="009531C5">
        <w:trPr>
          <w:trHeight w:val="105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имущество физических лиц, взимаемый по ставкам, применяемым к объектам налогообложения, расположенным в границах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000 1 06 01020 04 0000 110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1 709,0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2 072,9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363,9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121,3</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61 738,0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44 885,5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-16 852,5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72,7</w:t>
            </w:r>
          </w:p>
        </w:tc>
      </w:tr>
      <w:tr w:rsidR="000F0388" w:rsidRPr="009531C5" w:rsidTr="009531C5">
        <w:trPr>
          <w:trHeight w:val="62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000 1 06 06010 00 0000 110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9 894,0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2 468,8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-7 425,2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25,0</w:t>
            </w:r>
          </w:p>
        </w:tc>
      </w:tr>
      <w:tr w:rsidR="000F0388" w:rsidRPr="009531C5" w:rsidTr="009531C5">
        <w:trPr>
          <w:trHeight w:val="68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000 1 06 06012 04 0000 110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9 894,0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2 468,8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-7 425,2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25,0</w:t>
            </w:r>
          </w:p>
        </w:tc>
      </w:tr>
      <w:tr w:rsidR="000F0388" w:rsidRPr="009531C5" w:rsidTr="009531C5">
        <w:trPr>
          <w:trHeight w:val="44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000 1 06 06020 00 0000 110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51 844,0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42 416,7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-9 427,3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81,8</w:t>
            </w:r>
          </w:p>
        </w:tc>
      </w:tr>
      <w:tr w:rsidR="000F0388" w:rsidRPr="009531C5" w:rsidTr="009531C5">
        <w:trPr>
          <w:trHeight w:val="1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Налогового кодекса Российской Федерации и применяемым к объектам налогообложения, расположенным в границах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000 1 06 06022 04 0000 110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51 844,0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42 416,7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-9 427,3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81,8</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ГОСУДАРСТВЕННАЯ ПОШЛИНА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4 166,0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11 822,6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7 656,6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283,8</w:t>
            </w:r>
          </w:p>
        </w:tc>
      </w:tr>
      <w:tr w:rsidR="000F0388" w:rsidRPr="009531C5" w:rsidTr="009531C5">
        <w:trPr>
          <w:trHeight w:val="28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Государственная пошлина по делам, рассматриваемым в судах общей юрисдикции, мировыми судьями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000 1 08 03000 01 0000 110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3 938,0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11 546,5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7 608,5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293,2</w:t>
            </w:r>
          </w:p>
        </w:tc>
      </w:tr>
      <w:tr w:rsidR="000F0388" w:rsidRPr="009531C5" w:rsidTr="009531C5">
        <w:trPr>
          <w:trHeight w:val="76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000 1 08 03010 01 0000 110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3 938,0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11 546,5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7 608,5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293,2</w:t>
            </w:r>
          </w:p>
        </w:tc>
      </w:tr>
      <w:tr w:rsidR="000F0388" w:rsidRPr="009531C5" w:rsidTr="009531C5">
        <w:trPr>
          <w:trHeight w:val="37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Государственная пошлина за государственную регистрацию, а также за совершение прочих юридически значимых действий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000 1 08 07000 01 0000 110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276,1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121,1</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Государственная пошлина за выдачу разрешения на установку рекламной конструкции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000 1 08 07150 01 0000 110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276,1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121,1</w:t>
            </w:r>
          </w:p>
        </w:tc>
      </w:tr>
      <w:tr w:rsidR="000F0388" w:rsidRPr="009531C5" w:rsidTr="009531C5">
        <w:trPr>
          <w:trHeight w:val="6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ЗАДОЛЖЕННОСТЬ И ПЕРЕРАСЧЕТЫ ПО ОТМЕНЕННЫМ НАЛОГАМ, СБОРАМ И ИНЫМ ОБЯЗАТЕЛЬНЫМ ПЛАТЕЖАМ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36,3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36,3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000 1 09 04000 00 0000 110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(по обязательствам, возникшим до 1 января 2006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000 1 09 04050 00 0000 110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58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(по обязательствам, возникшим до 1 января 2006 года), мобилизуемый на территориях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000 1 09 04052 04 0000 110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налоги и сборы (по отмененным местным налогам и сборам)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000 1 09 07000 00 0000 110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местные налоги и сборы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000 1 09 07050 00 0000 110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12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местные налоги и сборы, мобилизуемые на территориях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000 1 09 07052 04 0000 110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112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77 310,0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78 232,6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922,6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101,2</w:t>
            </w:r>
          </w:p>
        </w:tc>
      </w:tr>
      <w:tr w:rsidR="000F0388" w:rsidRPr="009531C5" w:rsidTr="009531C5">
        <w:trPr>
          <w:trHeight w:val="176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77 310,0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78 143,2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833,2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101,1</w:t>
            </w:r>
          </w:p>
        </w:tc>
      </w:tr>
      <w:tr w:rsidR="000F0388" w:rsidRPr="009531C5" w:rsidTr="009531C5">
        <w:trPr>
          <w:trHeight w:val="5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000 1 11 05010 00 0000 120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4 960,0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10 489,3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5 529,3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211,5</w:t>
            </w:r>
          </w:p>
        </w:tc>
      </w:tr>
      <w:tr w:rsidR="000F0388" w:rsidRPr="009531C5" w:rsidTr="009531C5">
        <w:trPr>
          <w:trHeight w:val="13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000 1 11 05012 04 0000 120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4 960,0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10 489,3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5 529,3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211,5</w:t>
            </w:r>
          </w:p>
        </w:tc>
      </w:tr>
      <w:tr w:rsidR="000F0388" w:rsidRPr="009531C5" w:rsidTr="009531C5">
        <w:trPr>
          <w:trHeight w:val="14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lastRenderedPageBreak/>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000 1 11 05020 00 0000 120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72 185,0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67 278,9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-4 906,1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93,2</w:t>
            </w:r>
          </w:p>
        </w:tc>
      </w:tr>
      <w:tr w:rsidR="000F0388" w:rsidRPr="009531C5" w:rsidTr="009531C5">
        <w:trPr>
          <w:trHeight w:val="165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000 1 11 05024 04 0000 120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72 185,0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67 278,9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-4 906,1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93,2</w:t>
            </w:r>
          </w:p>
        </w:tc>
      </w:tr>
      <w:tr w:rsidR="000F0388" w:rsidRPr="009531C5" w:rsidTr="009531C5">
        <w:trPr>
          <w:trHeight w:val="118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000 1 11 05030 00 0000 120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165,0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375,0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227,3</w:t>
            </w:r>
          </w:p>
        </w:tc>
      </w:tr>
      <w:tr w:rsidR="000F0388" w:rsidRPr="009531C5" w:rsidTr="009531C5">
        <w:trPr>
          <w:trHeight w:val="9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управления городских округов и созданных ими учреждений (за исключением имущества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000 1 11 05034 04 0000 120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165,0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375,0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227,3</w:t>
            </w:r>
          </w:p>
        </w:tc>
      </w:tr>
      <w:tr w:rsidR="000F0388" w:rsidRPr="009531C5" w:rsidTr="009531C5">
        <w:trPr>
          <w:trHeight w:val="14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Платежи от государственных и муниципальных унитарных предприятий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000 1 11 07000 00 0000 120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43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000 1 11 07010 00 0000 120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10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000 1 11 07014 04 0000 120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ПЛАТЕЖИ ПРИ ПОЛЬЗОВАНИИ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2 228,0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3 989,9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1 761,9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179,1</w:t>
            </w:r>
          </w:p>
        </w:tc>
      </w:tr>
      <w:tr w:rsidR="000F0388" w:rsidRPr="009531C5" w:rsidTr="009531C5">
        <w:trPr>
          <w:trHeight w:val="12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негативное воздействие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000 1 12 01000 01 0000 120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2 228,0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3 989,9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1 761,9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179,1</w:t>
            </w:r>
          </w:p>
        </w:tc>
      </w:tr>
      <w:tr w:rsidR="000F0388" w:rsidRPr="009531C5" w:rsidTr="009531C5">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выбросы загрязняющих веществ в атмосферный воздух стационарными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000 1 12 01010 01 0000 120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304,7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283,6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93,1</w:t>
            </w:r>
          </w:p>
        </w:tc>
      </w:tr>
      <w:tr w:rsidR="000F0388" w:rsidRPr="009531C5" w:rsidTr="009531C5">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Плата за выбросы загрязняющих веществ в атмосферный воздух передвижными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000 1 12 01020 01 0000 120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94,6</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сбросы загрязняющих веществ в водные объекты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000 1 12 01030 01 0000 120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205,0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17,4</w:t>
            </w:r>
          </w:p>
        </w:tc>
      </w:tr>
      <w:tr w:rsidR="000F0388" w:rsidRPr="009531C5" w:rsidTr="009531C5">
        <w:trPr>
          <w:trHeight w:val="23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размещение отходов производства и потребления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000 1 12 01040 01 0000 120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1 653,3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3 609,3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1 956,0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218,3</w:t>
            </w:r>
          </w:p>
        </w:tc>
      </w:tr>
      <w:tr w:rsidR="000F0388" w:rsidRPr="009531C5" w:rsidTr="009531C5">
        <w:trPr>
          <w:trHeight w:val="1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9531C5"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оказания платных услуг (работ) и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4 040,3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4 728,1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687,7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117,0</w:t>
            </w:r>
          </w:p>
        </w:tc>
      </w:tr>
      <w:tr w:rsidR="000F0388" w:rsidRPr="009531C5" w:rsidTr="009531C5">
        <w:trPr>
          <w:trHeight w:val="11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000 1 13 01000 00 0000 130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945,6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947,2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r>
      <w:tr w:rsidR="000F0388" w:rsidRPr="009531C5" w:rsidTr="009531C5">
        <w:trPr>
          <w:trHeight w:val="20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000 1 13 01990 00 0000 130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945,6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947,2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r>
      <w:tr w:rsidR="000F0388" w:rsidRPr="009531C5" w:rsidTr="009531C5">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000 1 13 01994 04 0000 130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945,6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947,2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r>
      <w:tr w:rsidR="000F0388" w:rsidRPr="009531C5" w:rsidTr="009531C5">
        <w:trPr>
          <w:trHeight w:val="9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000 1 13 02000 00 0000 130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3 094,8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3 780,9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686,1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122,2</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000 1 13 02990 00 0000 130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3 094,8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3 780,9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686,1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122,2</w:t>
            </w:r>
          </w:p>
        </w:tc>
      </w:tr>
      <w:tr w:rsidR="000F0388" w:rsidRPr="009531C5" w:rsidTr="009531C5">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компенсации затрат бюджетов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000 1 13 02994 04 0000 130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3 094,8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3 780,9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686,1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122,2</w:t>
            </w:r>
          </w:p>
        </w:tc>
      </w:tr>
      <w:tr w:rsidR="000F0388" w:rsidRPr="009531C5" w:rsidTr="009531C5">
        <w:trPr>
          <w:trHeight w:val="52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9531C5"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продажи материальных и нематериальных активов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973,0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287,6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-685,4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29,6</w:t>
            </w:r>
          </w:p>
        </w:tc>
      </w:tr>
      <w:tr w:rsidR="000F0388" w:rsidRPr="009531C5" w:rsidTr="009531C5">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973,0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19,3</w:t>
            </w:r>
          </w:p>
        </w:tc>
      </w:tr>
      <w:tr w:rsidR="000F0388" w:rsidRPr="009531C5" w:rsidTr="009531C5">
        <w:trPr>
          <w:trHeight w:val="206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реализации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000 1 14 02040 04 0000 410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973,0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19,3</w:t>
            </w:r>
          </w:p>
        </w:tc>
      </w:tr>
      <w:tr w:rsidR="000F0388" w:rsidRPr="009531C5" w:rsidTr="009531C5">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000 1 14 02042 04 0000 410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973,0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19,3</w:t>
            </w:r>
          </w:p>
        </w:tc>
      </w:tr>
      <w:tr w:rsidR="000F0388" w:rsidRPr="009531C5" w:rsidTr="009531C5">
        <w:trPr>
          <w:trHeight w:val="149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000 1 14 06000 00 0000 430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88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000 1 14 06020 00 0000 430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000 1 14 06024 04 0000 430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ШТРАФЫ, САНКЦИИ,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8 187,0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10 979,2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2 792,2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134,1</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о налогах и сборах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580,0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861,8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281,8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148,6</w:t>
            </w:r>
          </w:p>
        </w:tc>
      </w:tr>
      <w:tr w:rsidR="000F0388" w:rsidRPr="009531C5" w:rsidTr="009531C5">
        <w:trPr>
          <w:trHeight w:val="3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о налогах и сборах, предусмотренные статьями 116, 118, 1191, пунктами 1 и 2 статьи 120, статьями 125, 126, 128, 129, 1291, 132, 133, 134, 135, 1351 Налогового кодекса Российской Федерации, а также штрафы, взыскание которых осуществляется на основании ранее действовавшей статьи 117 Налогового кодекса Российской Федерации</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000 1 16 03010 01 0000 140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239,0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702,6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463,6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294,0</w:t>
            </w:r>
          </w:p>
        </w:tc>
      </w:tr>
      <w:tr w:rsidR="000F0388" w:rsidRPr="009531C5" w:rsidTr="009531C5">
        <w:trPr>
          <w:trHeight w:val="136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административные правонарушения в области налогов и сборов, предусмотренные Кодексом РФ об административных правонарушениях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000 1 16 03030 01 0000 140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341,0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159,2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46,7</w:t>
            </w:r>
          </w:p>
        </w:tc>
      </w:tr>
      <w:tr w:rsidR="000F0388" w:rsidRPr="009531C5" w:rsidTr="009531C5">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000 1 16 06000 01 0000 140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545,0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210,6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-334,4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38,6</w:t>
            </w:r>
          </w:p>
        </w:tc>
      </w:tr>
      <w:tr w:rsidR="000F0388" w:rsidRPr="009531C5" w:rsidTr="009531C5">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000 1 16 08000 01 0000 140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300,0</w:t>
            </w:r>
          </w:p>
        </w:tc>
      </w:tr>
      <w:tr w:rsidR="000F0388" w:rsidRPr="009531C5" w:rsidTr="009531C5">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Денежные взыскания (штрафы) и иные суммы, взыскиваемые с лиц, виновных в совершении преступлений, и в возмещение ущерба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000 1 16 21000 00 0000 140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170,6</w:t>
            </w:r>
          </w:p>
        </w:tc>
      </w:tr>
      <w:tr w:rsidR="000F0388" w:rsidRPr="009531C5" w:rsidTr="009531C5">
        <w:trPr>
          <w:trHeight w:val="104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000 1 16 21040 04 0000 140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170,6</w:t>
            </w:r>
          </w:p>
        </w:tc>
      </w:tr>
      <w:tr w:rsidR="000F0388" w:rsidRPr="009531C5" w:rsidTr="009531C5">
        <w:trPr>
          <w:trHeight w:val="192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РФ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835,0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2 399,3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1 564,3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287,3</w:t>
            </w:r>
          </w:p>
        </w:tc>
      </w:tr>
      <w:tr w:rsidR="000F0388" w:rsidRPr="009531C5" w:rsidTr="009531C5">
        <w:trPr>
          <w:trHeight w:val="43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недрах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000 1 16 25010 01 0000 140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1 563,0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1 532,0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5 041,9</w:t>
            </w:r>
          </w:p>
        </w:tc>
      </w:tr>
      <w:tr w:rsidR="000F0388" w:rsidRPr="009531C5" w:rsidTr="009531C5">
        <w:trPr>
          <w:trHeight w:val="58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000 1 16 25030 01 0000 140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154,7</w:t>
            </w:r>
          </w:p>
        </w:tc>
      </w:tr>
      <w:tr w:rsidR="000F0388" w:rsidRPr="009531C5" w:rsidTr="009531C5">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в области охраны окружающей среды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000 1 16 25050 01 0000 140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697,0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450,4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-246,6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64,6</w:t>
            </w:r>
          </w:p>
        </w:tc>
      </w:tr>
      <w:tr w:rsidR="000F0388" w:rsidRPr="009531C5" w:rsidTr="009531C5">
        <w:trPr>
          <w:trHeight w:val="42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земельного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000 1 16 25060 01 0000 140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327,1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474,1</w:t>
            </w:r>
          </w:p>
        </w:tc>
      </w:tr>
      <w:tr w:rsidR="000F0388" w:rsidRPr="009531C5" w:rsidTr="009531C5">
        <w:trPr>
          <w:trHeight w:val="128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000 1 16 28000 01 0000 140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1 177,0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478,5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-698,5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40,7</w:t>
            </w:r>
          </w:p>
        </w:tc>
      </w:tr>
      <w:tr w:rsidR="000F0388" w:rsidRPr="009531C5" w:rsidTr="009531C5">
        <w:trPr>
          <w:trHeight w:val="3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000 1 16 30000 01 0000 140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52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000 1 16 30030 01 0000 140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133,9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82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Денежные взыскания (штрафы) </w:t>
            </w:r>
            <w:r w:rsidR="009531C5">
              <w:rPr>
                <w:rFonts w:ascii="Times New Roman" w:eastAsia="Times New Roman" w:hAnsi="Times New Roman" w:cs="Times New Roman"/>
                <w:sz w:val="20"/>
                <w:szCs w:val="20"/>
                <w:lang w:eastAsia="ru-RU"/>
              </w:rPr>
              <w:t>за нарушение законодательства Р</w:t>
            </w:r>
            <w:r w:rsidRPr="009531C5">
              <w:rPr>
                <w:rFonts w:ascii="Times New Roman" w:eastAsia="Times New Roman" w:hAnsi="Times New Roman" w:cs="Times New Roman"/>
                <w:sz w:val="20"/>
                <w:szCs w:val="20"/>
                <w:lang w:eastAsia="ru-RU"/>
              </w:rPr>
              <w:t>Ф о размещении заказов на поставки товаров, выполнение работ, оказание услуг для нужд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000 1 16 33040 04 0000 140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Прочие поступления от денежных взысканий (штрафов) и иных сумм в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000 1 16 90000 00 0000 140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4 610,0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6 828,0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2 218,0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148,1</w:t>
            </w:r>
          </w:p>
        </w:tc>
      </w:tr>
      <w:tr w:rsidR="000F0388" w:rsidRPr="009531C5" w:rsidTr="009531C5">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 зачисляемые в бюджеты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000 1 16 90040 04 0000 140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4 610,0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6 828,0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2 218,0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148,1</w:t>
            </w:r>
          </w:p>
        </w:tc>
      </w:tr>
      <w:tr w:rsidR="000F0388" w:rsidRPr="009531C5" w:rsidTr="009531C5">
        <w:trPr>
          <w:trHeight w:val="3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107,9</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Невыясненные поступления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000 1 17 01000 00 0000 180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30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Невыясненные поступления, зачисляемые в бюджеты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000 1 17 01040 04 0000 180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0F0388" w:rsidRPr="009531C5" w:rsidTr="009531C5">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000 1 17 05000 00 0000 180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18,2</w:t>
            </w:r>
          </w:p>
        </w:tc>
      </w:tr>
      <w:tr w:rsidR="000F0388" w:rsidRPr="009531C5" w:rsidTr="009531C5">
        <w:trPr>
          <w:trHeight w:val="21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0388" w:rsidRPr="009531C5" w:rsidRDefault="000F0388" w:rsidP="000F0388">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неналоговые доходы бюджетов городских округов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000 1 17 05040 04 0000 180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F0388" w:rsidRPr="009531C5" w:rsidRDefault="000F0388" w:rsidP="000F0388">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18,2</w:t>
            </w:r>
          </w:p>
        </w:tc>
      </w:tr>
    </w:tbl>
    <w:p w:rsidR="000F0388" w:rsidRDefault="000F0388" w:rsidP="000D6B0B">
      <w:pPr>
        <w:spacing w:after="0" w:line="360" w:lineRule="auto"/>
        <w:ind w:firstLine="709"/>
        <w:jc w:val="both"/>
        <w:rPr>
          <w:rFonts w:ascii="Times New Roman" w:hAnsi="Times New Roman" w:cs="Times New Roman"/>
          <w:sz w:val="28"/>
          <w:szCs w:val="28"/>
        </w:rPr>
      </w:pPr>
    </w:p>
    <w:p w:rsidR="009531C5" w:rsidRDefault="009531C5" w:rsidP="000D6B0B">
      <w:pPr>
        <w:spacing w:after="0" w:line="360" w:lineRule="auto"/>
        <w:ind w:firstLine="709"/>
        <w:jc w:val="both"/>
        <w:rPr>
          <w:rFonts w:ascii="Times New Roman" w:hAnsi="Times New Roman" w:cs="Times New Roman"/>
          <w:sz w:val="28"/>
          <w:szCs w:val="28"/>
        </w:rPr>
      </w:pPr>
    </w:p>
    <w:tbl>
      <w:tblPr>
        <w:tblW w:w="10348" w:type="dxa"/>
        <w:tblInd w:w="-459" w:type="dxa"/>
        <w:tblLook w:val="04A0" w:firstRow="1" w:lastRow="0" w:firstColumn="1" w:lastColumn="0" w:noHBand="0" w:noVBand="1"/>
      </w:tblPr>
      <w:tblGrid>
        <w:gridCol w:w="3119"/>
        <w:gridCol w:w="2410"/>
        <w:gridCol w:w="1275"/>
        <w:gridCol w:w="1276"/>
        <w:gridCol w:w="1276"/>
        <w:gridCol w:w="992"/>
      </w:tblGrid>
      <w:tr w:rsidR="009531C5" w:rsidRPr="009531C5" w:rsidTr="003B4036">
        <w:trPr>
          <w:trHeight w:val="300"/>
        </w:trPr>
        <w:tc>
          <w:tcPr>
            <w:tcW w:w="10348" w:type="dxa"/>
            <w:gridSpan w:val="6"/>
            <w:tcBorders>
              <w:top w:val="nil"/>
              <w:left w:val="nil"/>
              <w:bottom w:val="nil"/>
              <w:right w:val="nil"/>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b/>
                <w:bCs/>
                <w:color w:val="000000"/>
                <w:lang w:eastAsia="ru-RU"/>
              </w:rPr>
            </w:pPr>
            <w:r w:rsidRPr="009531C5">
              <w:rPr>
                <w:rFonts w:ascii="Times New Roman" w:eastAsia="Times New Roman" w:hAnsi="Times New Roman" w:cs="Times New Roman"/>
                <w:b/>
                <w:bCs/>
                <w:color w:val="000000"/>
                <w:lang w:eastAsia="ru-RU"/>
              </w:rPr>
              <w:t>Исполнение бюджетов муниципальных районов по налоговым и неналоговым доходам за 2012 год</w:t>
            </w:r>
          </w:p>
        </w:tc>
      </w:tr>
      <w:tr w:rsidR="009531C5" w:rsidRPr="009531C5" w:rsidTr="003B4036">
        <w:trPr>
          <w:trHeight w:val="540"/>
        </w:trPr>
        <w:tc>
          <w:tcPr>
            <w:tcW w:w="3119" w:type="dxa"/>
            <w:tcBorders>
              <w:top w:val="nil"/>
              <w:left w:val="nil"/>
              <w:bottom w:val="single" w:sz="4" w:space="0" w:color="auto"/>
              <w:right w:val="nil"/>
            </w:tcBorders>
            <w:shd w:val="clear" w:color="auto" w:fill="auto"/>
            <w:noWrap/>
            <w:vAlign w:val="bottom"/>
            <w:hideMark/>
          </w:tcPr>
          <w:p w:rsidR="009531C5" w:rsidRPr="009531C5" w:rsidRDefault="009531C5" w:rsidP="009531C5">
            <w:pPr>
              <w:spacing w:after="0" w:line="240" w:lineRule="auto"/>
              <w:rPr>
                <w:rFonts w:ascii="Times New Roman" w:eastAsia="Times New Roman" w:hAnsi="Times New Roman" w:cs="Times New Roman"/>
                <w:color w:val="000000"/>
                <w:lang w:eastAsia="ru-RU"/>
              </w:rPr>
            </w:pPr>
          </w:p>
        </w:tc>
        <w:tc>
          <w:tcPr>
            <w:tcW w:w="2410" w:type="dxa"/>
            <w:tcBorders>
              <w:top w:val="nil"/>
              <w:left w:val="nil"/>
              <w:bottom w:val="single" w:sz="4" w:space="0" w:color="auto"/>
              <w:right w:val="nil"/>
            </w:tcBorders>
            <w:shd w:val="clear" w:color="auto" w:fill="auto"/>
            <w:noWrap/>
            <w:vAlign w:val="bottom"/>
            <w:hideMark/>
          </w:tcPr>
          <w:p w:rsidR="009531C5" w:rsidRPr="009531C5" w:rsidRDefault="009531C5" w:rsidP="009531C5">
            <w:pPr>
              <w:spacing w:after="0" w:line="240" w:lineRule="auto"/>
              <w:rPr>
                <w:rFonts w:ascii="Times New Roman" w:eastAsia="Times New Roman" w:hAnsi="Times New Roman" w:cs="Times New Roman"/>
                <w:color w:val="000000"/>
                <w:lang w:eastAsia="ru-RU"/>
              </w:rPr>
            </w:pPr>
          </w:p>
        </w:tc>
        <w:tc>
          <w:tcPr>
            <w:tcW w:w="1275" w:type="dxa"/>
            <w:tcBorders>
              <w:top w:val="nil"/>
              <w:left w:val="nil"/>
              <w:bottom w:val="single" w:sz="4" w:space="0" w:color="auto"/>
              <w:right w:val="nil"/>
            </w:tcBorders>
            <w:shd w:val="clear" w:color="auto" w:fill="auto"/>
            <w:noWrap/>
            <w:vAlign w:val="bottom"/>
            <w:hideMark/>
          </w:tcPr>
          <w:p w:rsidR="009531C5" w:rsidRPr="009531C5" w:rsidRDefault="009531C5" w:rsidP="009531C5">
            <w:pPr>
              <w:spacing w:after="0" w:line="240" w:lineRule="auto"/>
              <w:rPr>
                <w:rFonts w:ascii="Times New Roman" w:eastAsia="Times New Roman" w:hAnsi="Times New Roman" w:cs="Times New Roman"/>
                <w:color w:val="000000"/>
                <w:lang w:eastAsia="ru-RU"/>
              </w:rPr>
            </w:pPr>
          </w:p>
        </w:tc>
        <w:tc>
          <w:tcPr>
            <w:tcW w:w="1276" w:type="dxa"/>
            <w:tcBorders>
              <w:top w:val="nil"/>
              <w:left w:val="nil"/>
              <w:bottom w:val="single" w:sz="4" w:space="0" w:color="auto"/>
              <w:right w:val="nil"/>
            </w:tcBorders>
            <w:shd w:val="clear" w:color="auto" w:fill="auto"/>
            <w:noWrap/>
            <w:vAlign w:val="bottom"/>
            <w:hideMark/>
          </w:tcPr>
          <w:p w:rsidR="009531C5" w:rsidRPr="003B4036" w:rsidRDefault="009531C5" w:rsidP="009531C5">
            <w:pPr>
              <w:spacing w:after="0" w:line="240" w:lineRule="auto"/>
              <w:rPr>
                <w:rFonts w:ascii="Times New Roman" w:eastAsia="Times New Roman" w:hAnsi="Times New Roman" w:cs="Times New Roman"/>
                <w:b/>
                <w:color w:val="000000"/>
                <w:lang w:eastAsia="ru-RU"/>
              </w:rPr>
            </w:pPr>
            <w:r w:rsidRPr="003B4036">
              <w:rPr>
                <w:rFonts w:ascii="Times New Roman" w:eastAsia="Times New Roman" w:hAnsi="Times New Roman" w:cs="Times New Roman"/>
                <w:b/>
                <w:color w:val="00000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9531C5" w:rsidRPr="003B4036" w:rsidRDefault="009531C5" w:rsidP="003B4036">
            <w:pPr>
              <w:spacing w:after="0" w:line="240" w:lineRule="auto"/>
              <w:jc w:val="right"/>
              <w:rPr>
                <w:rFonts w:ascii="Times New Roman" w:eastAsia="Times New Roman" w:hAnsi="Times New Roman" w:cs="Times New Roman"/>
                <w:b/>
                <w:color w:val="000000"/>
                <w:lang w:eastAsia="ru-RU"/>
              </w:rPr>
            </w:pPr>
            <w:r w:rsidRPr="003B4036">
              <w:rPr>
                <w:rFonts w:ascii="Times New Roman" w:eastAsia="Times New Roman" w:hAnsi="Times New Roman" w:cs="Times New Roman"/>
                <w:b/>
                <w:color w:val="000000"/>
                <w:lang w:eastAsia="ru-RU"/>
              </w:rPr>
              <w:t xml:space="preserve">тыс. </w:t>
            </w:r>
          </w:p>
        </w:tc>
        <w:tc>
          <w:tcPr>
            <w:tcW w:w="992" w:type="dxa"/>
            <w:tcBorders>
              <w:top w:val="nil"/>
              <w:left w:val="nil"/>
              <w:bottom w:val="single" w:sz="4" w:space="0" w:color="auto"/>
              <w:right w:val="nil"/>
            </w:tcBorders>
            <w:shd w:val="clear" w:color="auto" w:fill="auto"/>
            <w:noWrap/>
            <w:vAlign w:val="bottom"/>
            <w:hideMark/>
          </w:tcPr>
          <w:p w:rsidR="009531C5" w:rsidRPr="003B4036" w:rsidRDefault="003B4036" w:rsidP="009531C5">
            <w:pPr>
              <w:spacing w:after="0" w:line="240" w:lineRule="auto"/>
              <w:rPr>
                <w:rFonts w:ascii="Times New Roman" w:eastAsia="Times New Roman" w:hAnsi="Times New Roman" w:cs="Times New Roman"/>
                <w:b/>
                <w:color w:val="000000"/>
                <w:lang w:eastAsia="ru-RU"/>
              </w:rPr>
            </w:pPr>
            <w:r w:rsidRPr="003B4036">
              <w:rPr>
                <w:rFonts w:ascii="Times New Roman" w:eastAsia="Times New Roman" w:hAnsi="Times New Roman" w:cs="Times New Roman"/>
                <w:b/>
                <w:color w:val="000000"/>
                <w:lang w:eastAsia="ru-RU"/>
              </w:rPr>
              <w:t>рублей</w:t>
            </w:r>
          </w:p>
        </w:tc>
      </w:tr>
      <w:tr w:rsidR="009531C5" w:rsidRPr="009531C5" w:rsidTr="003B4036">
        <w:trPr>
          <w:trHeight w:val="87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1C5" w:rsidRPr="009531C5" w:rsidRDefault="009531C5" w:rsidP="009531C5">
            <w:pPr>
              <w:spacing w:after="0" w:line="240" w:lineRule="auto"/>
              <w:jc w:val="center"/>
              <w:rPr>
                <w:rFonts w:ascii="Times New Roman" w:eastAsia="Times New Roman" w:hAnsi="Times New Roman" w:cs="Times New Roman"/>
                <w:b/>
                <w:bCs/>
                <w:color w:val="000000"/>
                <w:lang w:eastAsia="ru-RU"/>
              </w:rPr>
            </w:pPr>
            <w:r w:rsidRPr="009531C5">
              <w:rPr>
                <w:rFonts w:ascii="Times New Roman" w:eastAsia="Times New Roman" w:hAnsi="Times New Roman" w:cs="Times New Roman"/>
                <w:b/>
                <w:bCs/>
                <w:color w:val="000000"/>
                <w:lang w:eastAsia="ru-RU"/>
              </w:rPr>
              <w:t>Наименование дохода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1C5" w:rsidRPr="009531C5" w:rsidRDefault="009531C5" w:rsidP="009531C5">
            <w:pPr>
              <w:spacing w:after="0" w:line="240" w:lineRule="auto"/>
              <w:jc w:val="center"/>
              <w:rPr>
                <w:rFonts w:ascii="Times New Roman" w:eastAsia="Times New Roman" w:hAnsi="Times New Roman" w:cs="Times New Roman"/>
                <w:b/>
                <w:bCs/>
                <w:color w:val="000000"/>
                <w:lang w:eastAsia="ru-RU"/>
              </w:rPr>
            </w:pPr>
            <w:r w:rsidRPr="009531C5">
              <w:rPr>
                <w:rFonts w:ascii="Times New Roman" w:eastAsia="Times New Roman" w:hAnsi="Times New Roman" w:cs="Times New Roman"/>
                <w:b/>
                <w:bCs/>
                <w:color w:val="000000"/>
                <w:lang w:eastAsia="ru-RU"/>
              </w:rPr>
              <w:t>КБК</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1C5" w:rsidRPr="009531C5" w:rsidRDefault="009531C5" w:rsidP="009531C5">
            <w:pPr>
              <w:spacing w:after="0" w:line="240" w:lineRule="auto"/>
              <w:jc w:val="center"/>
              <w:rPr>
                <w:rFonts w:ascii="Times New Roman" w:eastAsia="Times New Roman" w:hAnsi="Times New Roman" w:cs="Times New Roman"/>
                <w:b/>
                <w:bCs/>
                <w:color w:val="000000"/>
                <w:lang w:eastAsia="ru-RU"/>
              </w:rPr>
            </w:pPr>
            <w:r w:rsidRPr="009531C5">
              <w:rPr>
                <w:rFonts w:ascii="Times New Roman" w:eastAsia="Times New Roman" w:hAnsi="Times New Roman" w:cs="Times New Roman"/>
                <w:b/>
                <w:bCs/>
                <w:color w:val="000000"/>
                <w:lang w:eastAsia="ru-RU"/>
              </w:rPr>
              <w:t>План</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1C5" w:rsidRPr="009531C5" w:rsidRDefault="009531C5" w:rsidP="009531C5">
            <w:pPr>
              <w:spacing w:after="0" w:line="240" w:lineRule="auto"/>
              <w:jc w:val="center"/>
              <w:rPr>
                <w:rFonts w:ascii="Times New Roman" w:eastAsia="Times New Roman" w:hAnsi="Times New Roman" w:cs="Times New Roman"/>
                <w:b/>
                <w:bCs/>
                <w:color w:val="000000"/>
                <w:lang w:eastAsia="ru-RU"/>
              </w:rPr>
            </w:pPr>
            <w:r w:rsidRPr="009531C5">
              <w:rPr>
                <w:rFonts w:ascii="Times New Roman" w:eastAsia="Times New Roman" w:hAnsi="Times New Roman" w:cs="Times New Roman"/>
                <w:b/>
                <w:bCs/>
                <w:color w:val="000000"/>
                <w:lang w:eastAsia="ru-RU"/>
              </w:rPr>
              <w:t>Факт</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1C5" w:rsidRPr="009531C5" w:rsidRDefault="009531C5" w:rsidP="003B4036">
            <w:pPr>
              <w:spacing w:after="0" w:line="240" w:lineRule="auto"/>
              <w:jc w:val="center"/>
              <w:rPr>
                <w:rFonts w:ascii="Times New Roman" w:eastAsia="Times New Roman" w:hAnsi="Times New Roman" w:cs="Times New Roman"/>
                <w:b/>
                <w:bCs/>
                <w:color w:val="000000"/>
                <w:lang w:eastAsia="ru-RU"/>
              </w:rPr>
            </w:pPr>
            <w:proofErr w:type="spellStart"/>
            <w:r w:rsidRPr="009531C5">
              <w:rPr>
                <w:rFonts w:ascii="Times New Roman" w:eastAsia="Times New Roman" w:hAnsi="Times New Roman" w:cs="Times New Roman"/>
                <w:b/>
                <w:bCs/>
                <w:color w:val="000000"/>
                <w:lang w:eastAsia="ru-RU"/>
              </w:rPr>
              <w:t>Откл</w:t>
            </w:r>
            <w:proofErr w:type="spellEnd"/>
            <w:r w:rsidR="003B4036">
              <w:rPr>
                <w:rFonts w:ascii="Times New Roman" w:eastAsia="Times New Roman" w:hAnsi="Times New Roman" w:cs="Times New Roman"/>
                <w:b/>
                <w:bCs/>
                <w:color w:val="000000"/>
                <w:lang w:eastAsia="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1C5" w:rsidRPr="009531C5" w:rsidRDefault="009531C5" w:rsidP="009531C5">
            <w:pPr>
              <w:spacing w:after="0" w:line="240" w:lineRule="auto"/>
              <w:jc w:val="center"/>
              <w:rPr>
                <w:rFonts w:ascii="Times New Roman" w:eastAsia="Times New Roman" w:hAnsi="Times New Roman" w:cs="Times New Roman"/>
                <w:b/>
                <w:bCs/>
                <w:color w:val="000000"/>
                <w:lang w:eastAsia="ru-RU"/>
              </w:rPr>
            </w:pPr>
            <w:r w:rsidRPr="009531C5">
              <w:rPr>
                <w:rFonts w:ascii="Times New Roman" w:eastAsia="Times New Roman" w:hAnsi="Times New Roman" w:cs="Times New Roman"/>
                <w:b/>
                <w:bCs/>
                <w:color w:val="000000"/>
                <w:lang w:eastAsia="ru-RU"/>
              </w:rPr>
              <w:t>% исп.</w:t>
            </w:r>
          </w:p>
        </w:tc>
      </w:tr>
      <w:tr w:rsidR="009531C5" w:rsidRPr="009531C5" w:rsidTr="003B4036">
        <w:trPr>
          <w:trHeight w:val="25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НАЛОГОВЫЕ И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000 1 00 00000 00 0000 000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1 605 267,8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1 651 969,3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46 701,5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102,9</w:t>
            </w:r>
          </w:p>
        </w:tc>
      </w:tr>
      <w:tr w:rsidR="009531C5" w:rsidRPr="009531C5" w:rsidTr="003B4036">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ПРИБЫЛЬ,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1 487 714,9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1 528 637,3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40 922,5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102,8</w:t>
            </w:r>
          </w:p>
        </w:tc>
      </w:tr>
      <w:tr w:rsidR="009531C5" w:rsidRPr="009531C5" w:rsidTr="003B4036">
        <w:trPr>
          <w:trHeight w:val="17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1 487 714,9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1 528 637,3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40 922,5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102,8</w:t>
            </w:r>
          </w:p>
        </w:tc>
      </w:tr>
      <w:tr w:rsidR="009531C5" w:rsidRPr="009531C5" w:rsidTr="003B4036">
        <w:trPr>
          <w:trHeight w:val="135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9132D">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w:t>
            </w:r>
            <w:r w:rsidR="0099132D">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1 455 882,3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1 497 654,4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41 772,1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102,9</w:t>
            </w:r>
          </w:p>
        </w:tc>
      </w:tr>
      <w:tr w:rsidR="009531C5" w:rsidRPr="009531C5" w:rsidTr="003B4036">
        <w:trPr>
          <w:trHeight w:val="295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9132D">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w:t>
            </w:r>
            <w:r w:rsidR="0099132D">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7 182,5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5 956,8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-1 225,7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82,9</w:t>
            </w:r>
          </w:p>
        </w:tc>
      </w:tr>
      <w:tr w:rsidR="009531C5" w:rsidRPr="009531C5" w:rsidTr="003B4036">
        <w:trPr>
          <w:trHeight w:val="98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9132D">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доходы физических лиц с доходов, полученных физическими лицами в соответствии со статьей 228 НК</w:t>
            </w:r>
            <w:r w:rsidR="0099132D">
              <w:rPr>
                <w:rFonts w:ascii="Times New Roman" w:eastAsia="Times New Roman" w:hAnsi="Times New Roman" w:cs="Times New Roman"/>
                <w:sz w:val="20"/>
                <w:szCs w:val="20"/>
                <w:lang w:eastAsia="ru-RU"/>
              </w:rPr>
              <w:t xml:space="preserve"> </w:t>
            </w:r>
            <w:r w:rsidRPr="009531C5">
              <w:rPr>
                <w:rFonts w:ascii="Times New Roman" w:eastAsia="Times New Roman" w:hAnsi="Times New Roman" w:cs="Times New Roman"/>
                <w:sz w:val="20"/>
                <w:szCs w:val="20"/>
                <w:lang w:eastAsia="ru-RU"/>
              </w:rPr>
              <w:t>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000 1 01 02030 01 0000 110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24 641,7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25 126,7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485,0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102,0</w:t>
            </w:r>
          </w:p>
        </w:tc>
      </w:tr>
      <w:tr w:rsidR="009531C5" w:rsidRPr="009531C5" w:rsidTr="003B4036">
        <w:trPr>
          <w:trHeight w:val="17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статьей 227.1 Н</w:t>
            </w:r>
            <w:r w:rsidR="003B4036">
              <w:rPr>
                <w:rFonts w:ascii="Times New Roman" w:eastAsia="Times New Roman" w:hAnsi="Times New Roman" w:cs="Times New Roman"/>
                <w:sz w:val="20"/>
                <w:szCs w:val="20"/>
                <w:lang w:eastAsia="ru-RU"/>
              </w:rPr>
              <w:t>К Р</w:t>
            </w:r>
            <w:r w:rsidRPr="009531C5">
              <w:rPr>
                <w:rFonts w:ascii="Times New Roman" w:eastAsia="Times New Roman" w:hAnsi="Times New Roman" w:cs="Times New Roman"/>
                <w:sz w:val="20"/>
                <w:szCs w:val="20"/>
                <w:lang w:eastAsia="ru-RU"/>
              </w:rPr>
              <w:t>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000 1 01 02040 01 0000 110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СОВОКУПНЫЙ ДОХОД</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54 963,9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51 730,3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-3 233,6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94,1</w:t>
            </w:r>
          </w:p>
        </w:tc>
      </w:tr>
      <w:tr w:rsidR="009531C5" w:rsidRPr="009531C5" w:rsidTr="003B4036">
        <w:trPr>
          <w:trHeight w:val="27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12 458,0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15 924,2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3 466,2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127,8</w:t>
            </w:r>
          </w:p>
        </w:tc>
      </w:tr>
      <w:tr w:rsidR="009531C5" w:rsidRPr="009531C5" w:rsidTr="003B4036">
        <w:trPr>
          <w:trHeight w:val="55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7 418,0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7 459,8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100,6</w:t>
            </w:r>
          </w:p>
        </w:tc>
      </w:tr>
      <w:tr w:rsidR="009531C5" w:rsidRPr="009531C5" w:rsidTr="003B4036">
        <w:trPr>
          <w:trHeight w:val="34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000 1 05 01011 01 0000 110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7 400,5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7 103,0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-297,5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96,0</w:t>
            </w:r>
          </w:p>
        </w:tc>
      </w:tr>
      <w:tr w:rsidR="009531C5" w:rsidRPr="009531C5" w:rsidTr="003B4036">
        <w:trPr>
          <w:trHeight w:val="68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000 1 05 01012 01 0000 110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17,5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356,8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339,3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2 038,9</w:t>
            </w:r>
          </w:p>
        </w:tc>
      </w:tr>
      <w:tr w:rsidR="009531C5" w:rsidRPr="009531C5" w:rsidTr="003B4036">
        <w:trPr>
          <w:trHeight w:val="85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4 749,0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5 906,6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1 157,6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124,4</w:t>
            </w:r>
          </w:p>
        </w:tc>
      </w:tr>
      <w:tr w:rsidR="009531C5" w:rsidRPr="009531C5" w:rsidTr="003B4036">
        <w:trPr>
          <w:trHeight w:val="73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000 1 05 01021 01 0000 110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4 749,0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5 555,1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806,1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117,0</w:t>
            </w:r>
          </w:p>
        </w:tc>
      </w:tr>
      <w:tr w:rsidR="009531C5" w:rsidRPr="009531C5" w:rsidTr="003B4036">
        <w:trPr>
          <w:trHeight w:val="91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000 1 05 01022 01 0000 110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351,5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351,5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000 1 05 01040 02 0000 110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190,0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228,6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38,6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120,3</w:t>
            </w:r>
          </w:p>
        </w:tc>
      </w:tr>
      <w:tr w:rsidR="009531C5" w:rsidRPr="009531C5" w:rsidTr="003B4036">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000 1 05 01041 02 0000 110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190,0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196,9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103,6</w:t>
            </w:r>
          </w:p>
        </w:tc>
      </w:tr>
      <w:tr w:rsidR="009531C5" w:rsidRPr="009531C5" w:rsidTr="0099132D">
        <w:trPr>
          <w:trHeight w:val="112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000 1 05 01042 02 0000 110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31,7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47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Минимальный налог, зачисляемый в бюджеты субъектов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000 1 05 01050 01 0000 110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101,0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2 329,1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2 228,1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2 306,1</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налог на вмененный доход для отдельных видов деятельности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000 1 05 02000 02 0000 110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38 322,0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33 089,5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-5 232,5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86,3</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налог на вмененный доход для отдельных видов деятельности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000 1 05 02010 02 0000 110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38 322,0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32 518,0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-5 804,0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84,9</w:t>
            </w:r>
          </w:p>
        </w:tc>
      </w:tr>
      <w:tr w:rsidR="009531C5" w:rsidRPr="009531C5" w:rsidTr="003B4036">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налог на вмененный доход для отдельных видов деятельности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000 1 05 02020 02 0000 110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571,5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571,5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000 1 05 03000 01 0000 110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4 183,9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2 716,6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-1 467,3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64,9</w:t>
            </w:r>
          </w:p>
        </w:tc>
      </w:tr>
      <w:tr w:rsidR="009531C5" w:rsidRPr="009531C5" w:rsidTr="003B4036">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000 1 05 03010 01 0000 110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4 183,9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2 311,9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-1 872,0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55,3</w:t>
            </w:r>
          </w:p>
        </w:tc>
      </w:tr>
      <w:tr w:rsidR="009531C5" w:rsidRPr="009531C5" w:rsidTr="003B4036">
        <w:trPr>
          <w:trHeight w:val="37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Единый сельскохозяйственный налог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000 1 05 03020 01 0000 110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404,7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404,7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1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2 245,0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1 168,7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-1 076,3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52,1</w:t>
            </w:r>
          </w:p>
        </w:tc>
      </w:tr>
      <w:tr w:rsidR="009531C5" w:rsidRPr="009531C5" w:rsidTr="003B4036">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имущество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000 1 06 01000 00 0000 110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102,0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90,7</w:t>
            </w:r>
          </w:p>
        </w:tc>
      </w:tr>
      <w:tr w:rsidR="009531C5" w:rsidRPr="009531C5" w:rsidTr="003B4036">
        <w:trPr>
          <w:trHeight w:val="109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000 1 06 01030 05 0000 110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102,0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90,7</w:t>
            </w:r>
          </w:p>
        </w:tc>
      </w:tr>
      <w:tr w:rsidR="009531C5" w:rsidRPr="009531C5" w:rsidTr="003B4036">
        <w:trPr>
          <w:trHeight w:val="13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2 143,0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1 076,2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-1 066,8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50,2</w:t>
            </w:r>
          </w:p>
        </w:tc>
      </w:tr>
      <w:tr w:rsidR="009531C5" w:rsidRPr="009531C5" w:rsidTr="003B4036">
        <w:trPr>
          <w:trHeight w:val="60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w:t>
            </w:r>
            <w:r w:rsidR="003B4036">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000 1 06 06010 00 0000 110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425,4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-414,6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50,6</w:t>
            </w:r>
          </w:p>
        </w:tc>
      </w:tr>
      <w:tr w:rsidR="009531C5" w:rsidRPr="009531C5" w:rsidTr="003B4036">
        <w:trPr>
          <w:trHeight w:val="122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9132D">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1 пункта 1 статьи 394 Н</w:t>
            </w:r>
            <w:r w:rsidR="0099132D">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 и применяемым к объектам налогообложения, расположенным в границах межселенных территорий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000 1 06 06013 05 0000 110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425,4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-414,6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50,6</w:t>
            </w:r>
          </w:p>
        </w:tc>
      </w:tr>
      <w:tr w:rsidR="009531C5" w:rsidRPr="009531C5" w:rsidTr="003B4036">
        <w:trPr>
          <w:trHeight w:val="82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w:t>
            </w:r>
            <w:r w:rsidR="003B4036">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000 1 06 06020 00 0000 110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1 303,0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650,8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-652,2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49,9</w:t>
            </w:r>
          </w:p>
        </w:tc>
      </w:tr>
      <w:tr w:rsidR="009531C5" w:rsidRPr="009531C5" w:rsidTr="003B4036">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w:t>
            </w:r>
            <w:r w:rsidR="003B4036">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 и применяемым к объектам налогообложения, расположенным в границах межселенных территорий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000 1 06 06023 05 0000 110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1 303,0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505,6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-797,4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38,8</w:t>
            </w:r>
          </w:p>
        </w:tc>
      </w:tr>
      <w:tr w:rsidR="009531C5" w:rsidRPr="009531C5" w:rsidTr="00B83DF8">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w:t>
            </w:r>
            <w:r w:rsidR="003B4036">
              <w:rPr>
                <w:rFonts w:ascii="Times New Roman" w:eastAsia="Times New Roman" w:hAnsi="Times New Roman" w:cs="Times New Roman"/>
                <w:sz w:val="20"/>
                <w:szCs w:val="20"/>
                <w:lang w:eastAsia="ru-RU"/>
              </w:rPr>
              <w:t>К</w:t>
            </w:r>
            <w:r w:rsidRPr="009531C5">
              <w:rPr>
                <w:rFonts w:ascii="Times New Roman" w:eastAsia="Times New Roman" w:hAnsi="Times New Roman" w:cs="Times New Roman"/>
                <w:sz w:val="20"/>
                <w:szCs w:val="20"/>
                <w:lang w:eastAsia="ru-RU"/>
              </w:rPr>
              <w:t xml:space="preserve"> РФ и применяемым к объектам налогообложения, расположенным в границах </w:t>
            </w:r>
            <w:r w:rsidRPr="009531C5">
              <w:rPr>
                <w:rFonts w:ascii="Times New Roman" w:eastAsia="Times New Roman" w:hAnsi="Times New Roman" w:cs="Times New Roman"/>
                <w:sz w:val="20"/>
                <w:szCs w:val="20"/>
                <w:lang w:eastAsia="ru-RU"/>
              </w:rPr>
              <w:lastRenderedPageBreak/>
              <w:t>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lastRenderedPageBreak/>
              <w:t>000 1 06 06023 10 0000 110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ГОСУДАРСТВЕННАЯ ПОШЛИНА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3 804,0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4 290,7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486,7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112,8</w:t>
            </w:r>
          </w:p>
        </w:tc>
      </w:tr>
      <w:tr w:rsidR="009531C5" w:rsidRPr="009531C5" w:rsidTr="003B4036">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Государственная пошлина по делам, рассматриваемым в судах общей юрисдикции, мировыми судьями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000 1 08 03000 01 0000 110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3 804,0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4 290,7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486,7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112,8</w:t>
            </w:r>
          </w:p>
        </w:tc>
      </w:tr>
      <w:tr w:rsidR="009531C5" w:rsidRPr="009531C5" w:rsidTr="003B4036">
        <w:trPr>
          <w:trHeight w:val="106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3B4036">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 Государственная пошлина по делам, рассматриваемым в судах общей юрисдикции, мировыми судьями (за исключением Верховного Суда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000 1 08 03010 01 0000 110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3 804,0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4 290,7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486,7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112,8</w:t>
            </w:r>
          </w:p>
        </w:tc>
      </w:tr>
      <w:tr w:rsidR="009531C5" w:rsidRPr="009531C5" w:rsidTr="003B4036">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ЗАДОЛЖЕННОСТЬ И ПЕРЕРАСЧЕТЫ ПО ОТМЕНЕННЫМ НАЛОГАМ, СБОРАМ И ИНЫМ ОБЯЗАТЕЛЬНЫМ ПЛАТЕЖАМ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119,8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000 1 09 04000 00 0000 110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(по обязательствам, возникшим до 1 января 2006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000 1 09 04050 00 0000 110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3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Земельный налог (по обязательствам, возникшим до 1 января 2006 года), мобилизуемый на межселенных территориях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000 1 09 04053 05 0000 110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налоги и сборы (по отмененным местным налогам и сборам)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000 1 09 07000 00 0000 110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местные налоги и сборы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000 1 09 07050 00 0000 110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43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местные налоги и сборы, мобилизуемые на территориях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000 1 09 07053 05 0000 110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28 275,9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36 069,1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7 793,2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127,6</w:t>
            </w:r>
          </w:p>
        </w:tc>
      </w:tr>
      <w:tr w:rsidR="009531C5" w:rsidRPr="009531C5" w:rsidTr="003B4036">
        <w:trPr>
          <w:trHeight w:val="239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000 1 11 05000 00 0000 120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28 275,9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36 069,1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7 793,2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127,6</w:t>
            </w:r>
          </w:p>
        </w:tc>
      </w:tr>
      <w:tr w:rsidR="009531C5" w:rsidRPr="009531C5" w:rsidTr="003B4036">
        <w:trPr>
          <w:trHeight w:val="161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000 1 11 05010 00 0000 120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15 137,3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15 646,8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509,5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103,4</w:t>
            </w:r>
          </w:p>
        </w:tc>
      </w:tr>
      <w:tr w:rsidR="009531C5" w:rsidRPr="009531C5" w:rsidTr="0099132D">
        <w:trPr>
          <w:trHeight w:val="225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lastRenderedPageBreak/>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000 1 11 05013 05 0000 120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15 137,3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15 646,8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509,5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103,4</w:t>
            </w:r>
          </w:p>
        </w:tc>
      </w:tr>
      <w:tr w:rsidR="009531C5" w:rsidRPr="009531C5" w:rsidTr="0099132D">
        <w:trPr>
          <w:trHeight w:val="212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000 1 11 05020 00 0000 120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13 019,6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18 879,7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5 860,1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145,0</w:t>
            </w:r>
          </w:p>
        </w:tc>
      </w:tr>
      <w:tr w:rsidR="009531C5" w:rsidRPr="009531C5" w:rsidTr="0099132D">
        <w:trPr>
          <w:trHeight w:val="179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000 1 11 05025 05 0000 120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13 019,6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18 879,7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5 860,1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145,0</w:t>
            </w:r>
          </w:p>
        </w:tc>
      </w:tr>
      <w:tr w:rsidR="009531C5" w:rsidRPr="009531C5" w:rsidTr="0099132D">
        <w:trPr>
          <w:trHeight w:val="160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000 1 11 05030 00 0000 120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119,0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1 542,6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1 423,6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1 296,3</w:t>
            </w:r>
          </w:p>
        </w:tc>
      </w:tr>
      <w:tr w:rsidR="009531C5" w:rsidRPr="009531C5" w:rsidTr="003B4036">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000 1 11 05035 05 0000 120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119,0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1 542,6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1 423,6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1 296,3</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ПЛАТЕЖИ ПРИ ПОЛЬЗОВАНИИ ПРИРОДНЫМИ РЕСУРСАМИ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863,0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2 215,0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1 352,0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256,7</w:t>
            </w:r>
          </w:p>
        </w:tc>
      </w:tr>
      <w:tr w:rsidR="009531C5" w:rsidRPr="009531C5" w:rsidTr="0099132D">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негативное воздействие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000 1 12 01000 01 0000 120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863,0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2 215,0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1 352,0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256,7</w:t>
            </w:r>
          </w:p>
        </w:tc>
      </w:tr>
      <w:tr w:rsidR="009531C5" w:rsidRPr="009531C5" w:rsidTr="0099132D">
        <w:trPr>
          <w:trHeight w:val="17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выбросы загрязняющих веществ в атмосферный воздух стационарными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000 1 12 01010 01 0000 120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117,6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64,4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154,7</w:t>
            </w:r>
          </w:p>
        </w:tc>
      </w:tr>
      <w:tr w:rsidR="009531C5" w:rsidRPr="009531C5" w:rsidTr="0099132D">
        <w:trPr>
          <w:trHeight w:val="32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выбросы загрязняющих веществ в атмосферный воздух передвижными объектами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000 1 12 01020 01 0000 120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24,9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279,4</w:t>
            </w:r>
          </w:p>
        </w:tc>
      </w:tr>
      <w:tr w:rsidR="009531C5" w:rsidRPr="009531C5" w:rsidTr="0099132D">
        <w:trPr>
          <w:trHeight w:val="33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Плата за сбросы загрязняющих </w:t>
            </w:r>
            <w:r w:rsidRPr="009531C5">
              <w:rPr>
                <w:rFonts w:ascii="Times New Roman" w:eastAsia="Times New Roman" w:hAnsi="Times New Roman" w:cs="Times New Roman"/>
                <w:sz w:val="20"/>
                <w:szCs w:val="20"/>
                <w:lang w:eastAsia="ru-RU"/>
              </w:rPr>
              <w:lastRenderedPageBreak/>
              <w:t>веществ в водные объекты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lastRenderedPageBreak/>
              <w:t>000 1 12 01030 01 0000 120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13,6</w:t>
            </w:r>
          </w:p>
        </w:tc>
      </w:tr>
      <w:tr w:rsidR="009531C5" w:rsidRPr="009531C5" w:rsidTr="0099132D">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Плата за размещение отходов производства и потребления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000 1 12 01040 01 0000 120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639,3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1 838,3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1 199,0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287,6</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Плата за иные виды негативного воздействия на окружающую среду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000 1 12 01050 01 0000 120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114,1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40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ОКАЗАНИЯ ПЛАТНЫХ УСЛУГ (РАБОТ) И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17 627,1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18 490,9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863,8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104,9</w:t>
            </w:r>
          </w:p>
        </w:tc>
      </w:tr>
      <w:tr w:rsidR="009531C5" w:rsidRPr="009531C5" w:rsidTr="0099132D">
        <w:trPr>
          <w:trHeight w:val="1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000 1 13 01000 00 0000 130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4 761,5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4 905,5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103,0</w:t>
            </w:r>
          </w:p>
        </w:tc>
      </w:tr>
      <w:tr w:rsidR="009531C5" w:rsidRPr="009531C5" w:rsidTr="0099132D">
        <w:trPr>
          <w:trHeight w:val="12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000 1 13 01990 00 0000 130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4 761,5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4 905,5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103,0</w:t>
            </w:r>
          </w:p>
        </w:tc>
      </w:tr>
      <w:tr w:rsidR="009531C5" w:rsidRPr="009531C5" w:rsidTr="003B4036">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000 1 13 01995 05 0000 130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4 761,5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4 905,5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144,0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103,0</w:t>
            </w:r>
          </w:p>
        </w:tc>
      </w:tr>
      <w:tr w:rsidR="009531C5" w:rsidRPr="009531C5" w:rsidTr="0099132D">
        <w:trPr>
          <w:trHeight w:val="14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000 1 13 02000 00 0000 130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12 865,6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13 585,5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105,6</w:t>
            </w:r>
          </w:p>
        </w:tc>
      </w:tr>
      <w:tr w:rsidR="009531C5" w:rsidRPr="009531C5" w:rsidTr="0099132D">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000 1 13 02990 00 0000 130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12 865,6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13 585,5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105,6</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доходы от компенсации затрат бюджетов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000 1 13 02995 05 0000 130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12 865,6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13 585,5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719,8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105,6</w:t>
            </w:r>
          </w:p>
        </w:tc>
      </w:tr>
      <w:tr w:rsidR="009531C5" w:rsidRPr="009531C5" w:rsidTr="003B4036">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ПРОДАЖИ МАТЕРИАЛЬНЫХ И НЕМАТЕРИАЛЬНЫХ АКТИВОВ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1 954,0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1 138,8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-815,2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58,3</w:t>
            </w:r>
          </w:p>
        </w:tc>
      </w:tr>
      <w:tr w:rsidR="009531C5" w:rsidRPr="009531C5" w:rsidTr="003B4036">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776,0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1 034,4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258,4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133,3</w:t>
            </w:r>
          </w:p>
        </w:tc>
      </w:tr>
      <w:tr w:rsidR="009531C5" w:rsidRPr="009531C5" w:rsidTr="0099132D">
        <w:trPr>
          <w:trHeight w:val="241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000 1 14 02050 05 0000 410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776,0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112,6</w:t>
            </w:r>
          </w:p>
        </w:tc>
      </w:tr>
      <w:tr w:rsidR="009531C5" w:rsidRPr="009531C5" w:rsidTr="00B83DF8">
        <w:trPr>
          <w:trHeight w:val="4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w:t>
            </w:r>
            <w:r w:rsidRPr="009531C5">
              <w:rPr>
                <w:rFonts w:ascii="Times New Roman" w:eastAsia="Times New Roman" w:hAnsi="Times New Roman" w:cs="Times New Roman"/>
                <w:sz w:val="20"/>
                <w:szCs w:val="20"/>
                <w:lang w:eastAsia="ru-RU"/>
              </w:rPr>
              <w:lastRenderedPageBreak/>
              <w:t>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lastRenderedPageBreak/>
              <w:t>000 1 14 02052 05 0000 410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776,0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112,6</w:t>
            </w:r>
          </w:p>
        </w:tc>
      </w:tr>
      <w:tr w:rsidR="009531C5" w:rsidRPr="009531C5" w:rsidTr="0099132D">
        <w:trPr>
          <w:trHeight w:val="218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000 1 14 02050 05 0000 440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195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материальных запасов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000 1 14 02052 05 0000 440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160,8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75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000 1 14 06000 00 0000 430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1 178,0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-1 073,6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w:t>
            </w:r>
          </w:p>
        </w:tc>
      </w:tr>
      <w:tr w:rsidR="009531C5" w:rsidRPr="009531C5" w:rsidTr="0099132D">
        <w:trPr>
          <w:trHeight w:val="6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000 1 14 06020 00 0000 430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1 178,0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-1 073,6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w:t>
            </w:r>
          </w:p>
        </w:tc>
      </w:tr>
      <w:tr w:rsidR="009531C5" w:rsidRPr="009531C5" w:rsidTr="0099132D">
        <w:trPr>
          <w:trHeight w:val="128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000 1 14 06025 05 0000 430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1 178,0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-1 073,6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8,9</w:t>
            </w:r>
          </w:p>
        </w:tc>
      </w:tr>
      <w:tr w:rsidR="009531C5" w:rsidRPr="009531C5" w:rsidTr="0099132D">
        <w:trPr>
          <w:trHeight w:val="10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ШТРАФЫ, САНКЦИИ,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7 786,0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7 397,3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-388,7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95,0</w:t>
            </w:r>
          </w:p>
        </w:tc>
      </w:tr>
      <w:tr w:rsidR="009531C5" w:rsidRPr="009531C5" w:rsidTr="0099132D">
        <w:trPr>
          <w:trHeight w:val="19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о налогах и сборах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1 166,0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822,9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-343,1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70,6</w:t>
            </w:r>
          </w:p>
        </w:tc>
      </w:tr>
      <w:tr w:rsidR="009531C5" w:rsidRPr="009531C5" w:rsidTr="00B83DF8">
        <w:trPr>
          <w:trHeight w:val="6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proofErr w:type="gramStart"/>
            <w:r w:rsidRPr="009531C5">
              <w:rPr>
                <w:rFonts w:ascii="Times New Roman" w:eastAsia="Times New Roman" w:hAnsi="Times New Roman" w:cs="Times New Roman"/>
                <w:sz w:val="20"/>
                <w:szCs w:val="20"/>
                <w:lang w:eastAsia="ru-RU"/>
              </w:rPr>
              <w:t xml:space="preserve">Денежные взыскания (штрафы) за нарушение законодательства о налогах и сборах, предусмотренные статьями 116, 118, 1191, пунктами 1 и 2 статьи 120, статьями 125, 126, 128, 129, 1291, 132, 133, 134, 135, 1351 Налогового кодекса Российской Федерации, а также штрафы, взыскание которых осуществляется на основании </w:t>
            </w:r>
            <w:r w:rsidRPr="009531C5">
              <w:rPr>
                <w:rFonts w:ascii="Times New Roman" w:eastAsia="Times New Roman" w:hAnsi="Times New Roman" w:cs="Times New Roman"/>
                <w:sz w:val="20"/>
                <w:szCs w:val="20"/>
                <w:lang w:eastAsia="ru-RU"/>
              </w:rPr>
              <w:lastRenderedPageBreak/>
              <w:t>ранее действовавшей статьи 117 Налогового кодекса Российской Федерации</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lastRenderedPageBreak/>
              <w:t>000 1 16 03010 01 0000 140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524,0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576,8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110,1</w:t>
            </w:r>
          </w:p>
        </w:tc>
      </w:tr>
      <w:tr w:rsidR="009531C5" w:rsidRPr="009531C5" w:rsidTr="003B4036">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000 1 16 03030 01 0000 140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642,0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246,1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-395,9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38,3</w:t>
            </w:r>
          </w:p>
        </w:tc>
      </w:tr>
      <w:tr w:rsidR="009531C5" w:rsidRPr="009531C5" w:rsidTr="003B4036">
        <w:trPr>
          <w:trHeight w:val="18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000 1 16 06000 01 0000 140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1 838,0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1 573,7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-264,3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85,6</w:t>
            </w:r>
          </w:p>
        </w:tc>
      </w:tr>
      <w:tr w:rsidR="009531C5" w:rsidRPr="009531C5" w:rsidTr="0099132D">
        <w:trPr>
          <w:trHeight w:val="113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000 1 16 08000 01 0000 140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141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земельного законодательства, лесного законодательства, водного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660,0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562,4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85,2</w:t>
            </w:r>
          </w:p>
        </w:tc>
      </w:tr>
      <w:tr w:rsidR="009531C5" w:rsidRPr="009531C5" w:rsidTr="0099132D">
        <w:trPr>
          <w:trHeight w:val="21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недрах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000 1 16 25010 01 0000 140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185,7</w:t>
            </w:r>
          </w:p>
        </w:tc>
      </w:tr>
      <w:tr w:rsidR="009531C5" w:rsidRPr="009531C5" w:rsidTr="0099132D">
        <w:trPr>
          <w:trHeight w:val="64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особо охраняемых природных территориях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000 1 16 25020 01 0000 140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55,0</w:t>
            </w:r>
          </w:p>
        </w:tc>
      </w:tr>
      <w:tr w:rsidR="009531C5" w:rsidRPr="009531C5" w:rsidTr="0099132D">
        <w:trPr>
          <w:trHeight w:val="55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000 1 16 25030 01 0000 140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102,0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98,9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97,0</w:t>
            </w:r>
          </w:p>
        </w:tc>
      </w:tr>
      <w:tr w:rsidR="009531C5" w:rsidRPr="009531C5" w:rsidTr="0099132D">
        <w:trPr>
          <w:trHeight w:val="55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в области охраны окружающей среды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000 1 16 25050 01 0000 140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382,0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323,0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-59,0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84,6</w:t>
            </w:r>
          </w:p>
        </w:tc>
      </w:tr>
      <w:tr w:rsidR="009531C5" w:rsidRPr="009531C5" w:rsidTr="0099132D">
        <w:trPr>
          <w:trHeight w:val="48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земельного законодательства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000 1 16 25060 01 0000 140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152,0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109,0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-43,0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71,7</w:t>
            </w:r>
          </w:p>
        </w:tc>
      </w:tr>
      <w:tr w:rsidR="009531C5" w:rsidRPr="009531C5" w:rsidTr="00B83DF8">
        <w:trPr>
          <w:trHeight w:val="69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 xml:space="preserve">Денежные взыскания (штрафы) за нарушение законодательства в области обеспечения санитарно-эпидемиологического </w:t>
            </w:r>
            <w:r w:rsidRPr="009531C5">
              <w:rPr>
                <w:rFonts w:ascii="Times New Roman" w:eastAsia="Times New Roman" w:hAnsi="Times New Roman" w:cs="Times New Roman"/>
                <w:sz w:val="20"/>
                <w:szCs w:val="20"/>
                <w:lang w:eastAsia="ru-RU"/>
              </w:rPr>
              <w:lastRenderedPageBreak/>
              <w:t>благополучия человека и законодательства в сфере защиты прав потребителей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lastRenderedPageBreak/>
              <w:t>000 1 16 28000 01 0000 140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866,0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1 102,0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236,0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127,3</w:t>
            </w:r>
          </w:p>
        </w:tc>
      </w:tr>
      <w:tr w:rsidR="009531C5" w:rsidRPr="009531C5" w:rsidTr="0099132D">
        <w:trPr>
          <w:trHeight w:val="28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lastRenderedPageBreak/>
              <w:t>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000 1 16 30000 01 0000 140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28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денежные взыскания (штрафы) за правонарушения в области дорожного движения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000 1 16 30030 01 0000 140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252,2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72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000 1 16 33000 00 0000 140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1 272,0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-960,0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24,5</w:t>
            </w:r>
          </w:p>
        </w:tc>
      </w:tr>
      <w:tr w:rsidR="009531C5" w:rsidRPr="009531C5" w:rsidTr="0099132D">
        <w:trPr>
          <w:trHeight w:val="61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000 1 16 33050 05 0000 140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1 272,0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312,0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-960,0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24,5</w:t>
            </w:r>
          </w:p>
        </w:tc>
      </w:tr>
      <w:tr w:rsidR="009531C5" w:rsidRPr="009531C5" w:rsidTr="0099132D">
        <w:trPr>
          <w:trHeight w:val="168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000 1 16 43000 01 0000 140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45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000 1 16 90000 00 0000 140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1 984,0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2 752,7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768,7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138,7</w:t>
            </w:r>
          </w:p>
        </w:tc>
      </w:tr>
      <w:tr w:rsidR="009531C5" w:rsidRPr="009531C5" w:rsidTr="003B4036">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поступления от денежных взысканий (штрафов) и иных сумм в возмещение ущерба, зачисляемые в бюджеты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000 1 16 90050 05 0000 140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1 984,0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2 752,7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768,7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138,7</w:t>
            </w:r>
          </w:p>
        </w:tc>
      </w:tr>
      <w:tr w:rsidR="009531C5" w:rsidRPr="009531C5" w:rsidTr="003B4036">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000 1 17 00000 00 0000 000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677,3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2 092,0</w:t>
            </w:r>
          </w:p>
        </w:tc>
      </w:tr>
      <w:tr w:rsidR="009531C5" w:rsidRPr="009531C5" w:rsidTr="0099132D">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Невыясненные поступления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000 1 17 01000 00 0000 180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29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Невыясненные поступления, зачисляемые в бюджеты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000 1 17 01050 05 0000 180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711,3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99132D">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000 1 17 05000 00 0000 180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r w:rsidR="009531C5" w:rsidRPr="009531C5" w:rsidTr="003B4036">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31C5" w:rsidRPr="009531C5" w:rsidRDefault="009531C5" w:rsidP="009531C5">
            <w:pPr>
              <w:spacing w:after="0" w:line="240" w:lineRule="auto"/>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Прочие неналоговые доходы бюджетов муниципальных районов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center"/>
              <w:rPr>
                <w:rFonts w:ascii="Times New Roman" w:eastAsia="Times New Roman" w:hAnsi="Times New Roman" w:cs="Times New Roman"/>
                <w:sz w:val="18"/>
                <w:szCs w:val="18"/>
                <w:lang w:eastAsia="ru-RU"/>
              </w:rPr>
            </w:pPr>
            <w:r w:rsidRPr="009531C5">
              <w:rPr>
                <w:rFonts w:ascii="Times New Roman" w:eastAsia="Times New Roman" w:hAnsi="Times New Roman" w:cs="Times New Roman"/>
                <w:sz w:val="18"/>
                <w:szCs w:val="18"/>
                <w:lang w:eastAsia="ru-RU"/>
              </w:rPr>
              <w:t>000 1 17 05050 05 0000 180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sz w:val="20"/>
                <w:szCs w:val="20"/>
                <w:lang w:eastAsia="ru-RU"/>
              </w:rPr>
            </w:pPr>
            <w:r w:rsidRPr="009531C5">
              <w:rPr>
                <w:rFonts w:ascii="Times New Roman" w:eastAsia="Times New Roman" w:hAnsi="Times New Roman" w:cs="Times New Roman"/>
                <w:sz w:val="20"/>
                <w:szCs w:val="20"/>
                <w:lang w:eastAsia="ru-RU"/>
              </w:rPr>
              <w:t>34,0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-34,0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531C5" w:rsidRPr="009531C5" w:rsidRDefault="009531C5" w:rsidP="009531C5">
            <w:pPr>
              <w:spacing w:after="0" w:line="240" w:lineRule="auto"/>
              <w:jc w:val="right"/>
              <w:rPr>
                <w:rFonts w:ascii="Times New Roman" w:eastAsia="Times New Roman" w:hAnsi="Times New Roman" w:cs="Times New Roman"/>
                <w:color w:val="000000"/>
                <w:sz w:val="20"/>
                <w:szCs w:val="20"/>
                <w:lang w:eastAsia="ru-RU"/>
              </w:rPr>
            </w:pPr>
            <w:r w:rsidRPr="009531C5">
              <w:rPr>
                <w:rFonts w:ascii="Times New Roman" w:eastAsia="Times New Roman" w:hAnsi="Times New Roman" w:cs="Times New Roman"/>
                <w:color w:val="000000"/>
                <w:sz w:val="20"/>
                <w:szCs w:val="20"/>
                <w:lang w:eastAsia="ru-RU"/>
              </w:rPr>
              <w:t>0,0</w:t>
            </w:r>
          </w:p>
        </w:tc>
      </w:tr>
    </w:tbl>
    <w:p w:rsidR="009531C5" w:rsidRDefault="009531C5" w:rsidP="000D6B0B">
      <w:pPr>
        <w:spacing w:after="0" w:line="360" w:lineRule="auto"/>
        <w:ind w:firstLine="709"/>
        <w:jc w:val="both"/>
        <w:rPr>
          <w:rFonts w:ascii="Times New Roman" w:hAnsi="Times New Roman" w:cs="Times New Roman"/>
          <w:sz w:val="28"/>
          <w:szCs w:val="28"/>
        </w:rPr>
      </w:pPr>
    </w:p>
    <w:p w:rsidR="00B83DF8" w:rsidRDefault="00B83DF8" w:rsidP="000D6B0B">
      <w:pPr>
        <w:spacing w:after="0" w:line="360" w:lineRule="auto"/>
        <w:ind w:firstLine="709"/>
        <w:jc w:val="both"/>
        <w:rPr>
          <w:rFonts w:ascii="Times New Roman" w:hAnsi="Times New Roman" w:cs="Times New Roman"/>
          <w:sz w:val="28"/>
          <w:szCs w:val="28"/>
        </w:rPr>
      </w:pPr>
    </w:p>
    <w:p w:rsidR="00B83DF8" w:rsidRDefault="00B83DF8" w:rsidP="000D6B0B">
      <w:pPr>
        <w:spacing w:after="0" w:line="360" w:lineRule="auto"/>
        <w:ind w:firstLine="709"/>
        <w:jc w:val="both"/>
        <w:rPr>
          <w:rFonts w:ascii="Times New Roman" w:hAnsi="Times New Roman" w:cs="Times New Roman"/>
          <w:sz w:val="28"/>
          <w:szCs w:val="28"/>
        </w:rPr>
      </w:pPr>
    </w:p>
    <w:p w:rsidR="00B83DF8" w:rsidRDefault="00B83DF8" w:rsidP="000D6B0B">
      <w:pPr>
        <w:spacing w:after="0" w:line="360" w:lineRule="auto"/>
        <w:ind w:firstLine="709"/>
        <w:jc w:val="both"/>
        <w:rPr>
          <w:rFonts w:ascii="Times New Roman" w:hAnsi="Times New Roman" w:cs="Times New Roman"/>
          <w:sz w:val="28"/>
          <w:szCs w:val="28"/>
        </w:rPr>
      </w:pPr>
    </w:p>
    <w:p w:rsidR="00B83DF8" w:rsidRDefault="00B83DF8" w:rsidP="000D6B0B">
      <w:pPr>
        <w:spacing w:after="0" w:line="360" w:lineRule="auto"/>
        <w:ind w:firstLine="709"/>
        <w:jc w:val="both"/>
        <w:rPr>
          <w:rFonts w:ascii="Times New Roman" w:hAnsi="Times New Roman" w:cs="Times New Roman"/>
          <w:sz w:val="28"/>
          <w:szCs w:val="28"/>
        </w:rPr>
      </w:pPr>
    </w:p>
    <w:p w:rsidR="00B83DF8" w:rsidRDefault="00B83DF8" w:rsidP="000D6B0B">
      <w:pPr>
        <w:spacing w:after="0" w:line="360" w:lineRule="auto"/>
        <w:ind w:firstLine="709"/>
        <w:jc w:val="both"/>
        <w:rPr>
          <w:rFonts w:ascii="Times New Roman" w:hAnsi="Times New Roman" w:cs="Times New Roman"/>
          <w:sz w:val="28"/>
          <w:szCs w:val="28"/>
        </w:rPr>
      </w:pPr>
    </w:p>
    <w:tbl>
      <w:tblPr>
        <w:tblW w:w="10356" w:type="dxa"/>
        <w:tblInd w:w="-459" w:type="dxa"/>
        <w:tblLook w:val="04A0" w:firstRow="1" w:lastRow="0" w:firstColumn="1" w:lastColumn="0" w:noHBand="0" w:noVBand="1"/>
      </w:tblPr>
      <w:tblGrid>
        <w:gridCol w:w="3119"/>
        <w:gridCol w:w="2410"/>
        <w:gridCol w:w="1278"/>
        <w:gridCol w:w="1278"/>
        <w:gridCol w:w="1271"/>
        <w:gridCol w:w="1000"/>
      </w:tblGrid>
      <w:tr w:rsidR="001B0933" w:rsidRPr="001B0933" w:rsidTr="001B0933">
        <w:trPr>
          <w:trHeight w:val="300"/>
        </w:trPr>
        <w:tc>
          <w:tcPr>
            <w:tcW w:w="10356" w:type="dxa"/>
            <w:gridSpan w:val="6"/>
            <w:tcBorders>
              <w:top w:val="nil"/>
              <w:left w:val="nil"/>
              <w:bottom w:val="nil"/>
              <w:right w:val="nil"/>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r w:rsidRPr="001B0933">
              <w:rPr>
                <w:rFonts w:ascii="Times New Roman" w:eastAsia="Times New Roman" w:hAnsi="Times New Roman" w:cs="Times New Roman"/>
                <w:b/>
                <w:bCs/>
                <w:color w:val="000000"/>
                <w:lang w:eastAsia="ru-RU"/>
              </w:rPr>
              <w:lastRenderedPageBreak/>
              <w:t>Исполнение бюджетов муниципальных поселений по налоговым и неналоговым доходам за 2012 год</w:t>
            </w:r>
          </w:p>
        </w:tc>
      </w:tr>
      <w:tr w:rsidR="001B0933" w:rsidRPr="001B0933" w:rsidTr="001B0933">
        <w:trPr>
          <w:trHeight w:val="645"/>
        </w:trPr>
        <w:tc>
          <w:tcPr>
            <w:tcW w:w="3119" w:type="dxa"/>
            <w:tcBorders>
              <w:top w:val="nil"/>
              <w:left w:val="nil"/>
              <w:bottom w:val="single" w:sz="4" w:space="0" w:color="auto"/>
              <w:right w:val="nil"/>
            </w:tcBorders>
            <w:shd w:val="clear" w:color="auto" w:fill="auto"/>
            <w:noWrap/>
            <w:vAlign w:val="bottom"/>
            <w:hideMark/>
          </w:tcPr>
          <w:p w:rsidR="001B0933" w:rsidRPr="001B0933" w:rsidRDefault="001B0933" w:rsidP="001B0933">
            <w:pPr>
              <w:spacing w:after="0" w:line="240" w:lineRule="auto"/>
              <w:rPr>
                <w:rFonts w:ascii="Times New Roman" w:eastAsia="Times New Roman" w:hAnsi="Times New Roman" w:cs="Times New Roman"/>
                <w:color w:val="000000"/>
                <w:lang w:eastAsia="ru-RU"/>
              </w:rPr>
            </w:pPr>
          </w:p>
        </w:tc>
        <w:tc>
          <w:tcPr>
            <w:tcW w:w="2410" w:type="dxa"/>
            <w:tcBorders>
              <w:top w:val="nil"/>
              <w:left w:val="nil"/>
              <w:bottom w:val="single" w:sz="4" w:space="0" w:color="auto"/>
              <w:right w:val="nil"/>
            </w:tcBorders>
            <w:shd w:val="clear" w:color="auto" w:fill="auto"/>
            <w:noWrap/>
            <w:vAlign w:val="bottom"/>
            <w:hideMark/>
          </w:tcPr>
          <w:p w:rsidR="001B0933" w:rsidRPr="001B0933" w:rsidRDefault="001B0933" w:rsidP="001B0933">
            <w:pPr>
              <w:spacing w:after="0" w:line="240" w:lineRule="auto"/>
              <w:rPr>
                <w:rFonts w:ascii="Times New Roman" w:eastAsia="Times New Roman" w:hAnsi="Times New Roman" w:cs="Times New Roman"/>
                <w:color w:val="000000"/>
                <w:lang w:eastAsia="ru-RU"/>
              </w:rPr>
            </w:pPr>
          </w:p>
        </w:tc>
        <w:tc>
          <w:tcPr>
            <w:tcW w:w="1278" w:type="dxa"/>
            <w:tcBorders>
              <w:top w:val="nil"/>
              <w:left w:val="nil"/>
              <w:bottom w:val="single" w:sz="4" w:space="0" w:color="auto"/>
              <w:right w:val="nil"/>
            </w:tcBorders>
            <w:shd w:val="clear" w:color="auto" w:fill="auto"/>
            <w:noWrap/>
            <w:vAlign w:val="bottom"/>
            <w:hideMark/>
          </w:tcPr>
          <w:p w:rsidR="001B0933" w:rsidRPr="001B0933" w:rsidRDefault="001B0933" w:rsidP="001B0933">
            <w:pPr>
              <w:spacing w:after="0" w:line="240" w:lineRule="auto"/>
              <w:rPr>
                <w:rFonts w:ascii="Times New Roman" w:eastAsia="Times New Roman" w:hAnsi="Times New Roman" w:cs="Times New Roman"/>
                <w:b/>
                <w:color w:val="000000"/>
                <w:lang w:eastAsia="ru-RU"/>
              </w:rPr>
            </w:pPr>
          </w:p>
        </w:tc>
        <w:tc>
          <w:tcPr>
            <w:tcW w:w="1278" w:type="dxa"/>
            <w:tcBorders>
              <w:top w:val="nil"/>
              <w:left w:val="nil"/>
              <w:bottom w:val="single" w:sz="4" w:space="0" w:color="auto"/>
              <w:right w:val="nil"/>
            </w:tcBorders>
            <w:shd w:val="clear" w:color="auto" w:fill="auto"/>
            <w:noWrap/>
            <w:vAlign w:val="bottom"/>
            <w:hideMark/>
          </w:tcPr>
          <w:p w:rsidR="001B0933" w:rsidRPr="001B0933" w:rsidRDefault="001B0933" w:rsidP="001B0933">
            <w:pPr>
              <w:spacing w:after="0" w:line="240" w:lineRule="auto"/>
              <w:rPr>
                <w:rFonts w:ascii="Times New Roman" w:eastAsia="Times New Roman" w:hAnsi="Times New Roman" w:cs="Times New Roman"/>
                <w:b/>
                <w:color w:val="000000"/>
                <w:lang w:eastAsia="ru-RU"/>
              </w:rPr>
            </w:pPr>
            <w:r w:rsidRPr="001B0933">
              <w:rPr>
                <w:rFonts w:ascii="Times New Roman" w:eastAsia="Times New Roman" w:hAnsi="Times New Roman" w:cs="Times New Roman"/>
                <w:b/>
                <w:color w:val="000000"/>
                <w:lang w:eastAsia="ru-RU"/>
              </w:rPr>
              <w:t>ед. изм.</w:t>
            </w:r>
          </w:p>
        </w:tc>
        <w:tc>
          <w:tcPr>
            <w:tcW w:w="1271" w:type="dxa"/>
            <w:tcBorders>
              <w:top w:val="nil"/>
              <w:left w:val="nil"/>
              <w:bottom w:val="single" w:sz="4" w:space="0" w:color="auto"/>
              <w:right w:val="nil"/>
            </w:tcBorders>
            <w:shd w:val="clear" w:color="auto" w:fill="auto"/>
            <w:noWrap/>
            <w:vAlign w:val="bottom"/>
            <w:hideMark/>
          </w:tcPr>
          <w:p w:rsidR="001B0933" w:rsidRPr="001B0933" w:rsidRDefault="001B0933" w:rsidP="001B0933">
            <w:pPr>
              <w:spacing w:after="0" w:line="240" w:lineRule="auto"/>
              <w:rPr>
                <w:rFonts w:ascii="Times New Roman" w:eastAsia="Times New Roman" w:hAnsi="Times New Roman" w:cs="Times New Roman"/>
                <w:b/>
                <w:color w:val="000000"/>
                <w:lang w:eastAsia="ru-RU"/>
              </w:rPr>
            </w:pPr>
            <w:r w:rsidRPr="001B0933">
              <w:rPr>
                <w:rFonts w:ascii="Times New Roman" w:eastAsia="Times New Roman" w:hAnsi="Times New Roman" w:cs="Times New Roman"/>
                <w:b/>
                <w:color w:val="000000"/>
                <w:lang w:eastAsia="ru-RU"/>
              </w:rPr>
              <w:t xml:space="preserve">тыс. </w:t>
            </w:r>
          </w:p>
        </w:tc>
        <w:tc>
          <w:tcPr>
            <w:tcW w:w="1000" w:type="dxa"/>
            <w:tcBorders>
              <w:top w:val="nil"/>
              <w:left w:val="nil"/>
              <w:bottom w:val="single" w:sz="4" w:space="0" w:color="auto"/>
              <w:right w:val="nil"/>
            </w:tcBorders>
            <w:shd w:val="clear" w:color="auto" w:fill="auto"/>
            <w:noWrap/>
            <w:vAlign w:val="bottom"/>
            <w:hideMark/>
          </w:tcPr>
          <w:p w:rsidR="001B0933" w:rsidRPr="001B0933" w:rsidRDefault="001B0933" w:rsidP="001B0933">
            <w:pPr>
              <w:spacing w:after="0" w:line="240" w:lineRule="auto"/>
              <w:rPr>
                <w:rFonts w:ascii="Times New Roman" w:eastAsia="Times New Roman" w:hAnsi="Times New Roman" w:cs="Times New Roman"/>
                <w:b/>
                <w:color w:val="000000"/>
                <w:lang w:eastAsia="ru-RU"/>
              </w:rPr>
            </w:pPr>
            <w:r w:rsidRPr="001B0933">
              <w:rPr>
                <w:rFonts w:ascii="Times New Roman" w:eastAsia="Times New Roman" w:hAnsi="Times New Roman" w:cs="Times New Roman"/>
                <w:b/>
                <w:color w:val="000000"/>
                <w:lang w:eastAsia="ru-RU"/>
              </w:rPr>
              <w:t>рублей</w:t>
            </w:r>
          </w:p>
        </w:tc>
      </w:tr>
      <w:tr w:rsidR="001B0933" w:rsidRPr="001B0933" w:rsidTr="001B0933">
        <w:trPr>
          <w:trHeight w:val="690"/>
        </w:trPr>
        <w:tc>
          <w:tcPr>
            <w:tcW w:w="3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r w:rsidRPr="001B0933">
              <w:rPr>
                <w:rFonts w:ascii="Times New Roman" w:eastAsia="Times New Roman" w:hAnsi="Times New Roman" w:cs="Times New Roman"/>
                <w:b/>
                <w:bCs/>
                <w:color w:val="000000"/>
                <w:lang w:eastAsia="ru-RU"/>
              </w:rPr>
              <w:t>Наименование дохода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r w:rsidRPr="001B0933">
              <w:rPr>
                <w:rFonts w:ascii="Times New Roman" w:eastAsia="Times New Roman" w:hAnsi="Times New Roman" w:cs="Times New Roman"/>
                <w:b/>
                <w:bCs/>
                <w:color w:val="000000"/>
                <w:lang w:eastAsia="ru-RU"/>
              </w:rPr>
              <w:t>КБК</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r w:rsidRPr="001B0933">
              <w:rPr>
                <w:rFonts w:ascii="Times New Roman" w:eastAsia="Times New Roman" w:hAnsi="Times New Roman" w:cs="Times New Roman"/>
                <w:b/>
                <w:bCs/>
                <w:color w:val="000000"/>
                <w:lang w:eastAsia="ru-RU"/>
              </w:rPr>
              <w:t>План</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r w:rsidRPr="001B0933">
              <w:rPr>
                <w:rFonts w:ascii="Times New Roman" w:eastAsia="Times New Roman" w:hAnsi="Times New Roman" w:cs="Times New Roman"/>
                <w:b/>
                <w:bCs/>
                <w:color w:val="000000"/>
                <w:lang w:eastAsia="ru-RU"/>
              </w:rPr>
              <w:t>Факт</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proofErr w:type="spellStart"/>
            <w:r w:rsidRPr="001B0933">
              <w:rPr>
                <w:rFonts w:ascii="Times New Roman" w:eastAsia="Times New Roman" w:hAnsi="Times New Roman" w:cs="Times New Roman"/>
                <w:b/>
                <w:bCs/>
                <w:color w:val="000000"/>
                <w:lang w:eastAsia="ru-RU"/>
              </w:rPr>
              <w:t>Откл</w:t>
            </w:r>
            <w:proofErr w:type="spellEnd"/>
            <w:r>
              <w:rPr>
                <w:rFonts w:ascii="Times New Roman" w:eastAsia="Times New Roman" w:hAnsi="Times New Roman" w:cs="Times New Roman"/>
                <w:b/>
                <w:bCs/>
                <w:color w:val="000000"/>
                <w:lang w:eastAsia="ru-RU"/>
              </w:rPr>
              <w:t>.</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933" w:rsidRPr="001B0933" w:rsidRDefault="001B0933" w:rsidP="001B0933">
            <w:pPr>
              <w:spacing w:after="0" w:line="240" w:lineRule="auto"/>
              <w:jc w:val="center"/>
              <w:rPr>
                <w:rFonts w:ascii="Times New Roman" w:eastAsia="Times New Roman" w:hAnsi="Times New Roman" w:cs="Times New Roman"/>
                <w:b/>
                <w:bCs/>
                <w:color w:val="000000"/>
                <w:lang w:eastAsia="ru-RU"/>
              </w:rPr>
            </w:pPr>
            <w:r w:rsidRPr="001B0933">
              <w:rPr>
                <w:rFonts w:ascii="Times New Roman" w:eastAsia="Times New Roman" w:hAnsi="Times New Roman" w:cs="Times New Roman"/>
                <w:b/>
                <w:bCs/>
                <w:color w:val="000000"/>
                <w:lang w:eastAsia="ru-RU"/>
              </w:rPr>
              <w:t>% исп.</w:t>
            </w:r>
          </w:p>
        </w:tc>
      </w:tr>
      <w:tr w:rsidR="001B0933" w:rsidRPr="001B0933" w:rsidTr="001B0933">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НАЛОГОВЫЕ И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000 1 00 00000 00 0000 000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312 303,3</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305 456,0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-6 847,3</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97,8</w:t>
            </w:r>
          </w:p>
        </w:tc>
      </w:tr>
      <w:tr w:rsidR="001B0933" w:rsidRPr="001B0933" w:rsidTr="001B0933">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НАЛОГИ НА ПРИБЫЛЬ,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000 1 01 00000 00 0000 000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228 983,3</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255 830,9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26 847,6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111,7</w:t>
            </w:r>
          </w:p>
        </w:tc>
      </w:tr>
      <w:tr w:rsidR="001B0933" w:rsidRPr="001B0933" w:rsidTr="001B093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на доходы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000 1 01 02000 01 0000 110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228 983,3</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255 830,9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26 847,6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111,7</w:t>
            </w:r>
          </w:p>
        </w:tc>
      </w:tr>
      <w:tr w:rsidR="001B0933" w:rsidRPr="001B0933" w:rsidTr="001B0933">
        <w:trPr>
          <w:trHeight w:val="121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000 1 01 02010 01 0000 110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226 268,2</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250 020,8</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23 752,6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110,5</w:t>
            </w:r>
          </w:p>
        </w:tc>
      </w:tr>
      <w:tr w:rsidR="001B0933" w:rsidRPr="001B0933" w:rsidTr="001B0933">
        <w:trPr>
          <w:trHeight w:val="2675"/>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proofErr w:type="gramStart"/>
            <w:r w:rsidRPr="001B0933">
              <w:rPr>
                <w:rFonts w:ascii="Times New Roman" w:eastAsia="Times New Roman" w:hAnsi="Times New Roman" w:cs="Times New Roman"/>
                <w:sz w:val="20"/>
                <w:szCs w:val="20"/>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w:t>
            </w:r>
            <w:r w:rsidR="00AE69E3">
              <w:rPr>
                <w:rFonts w:ascii="Times New Roman" w:eastAsia="Times New Roman" w:hAnsi="Times New Roman" w:cs="Times New Roman"/>
                <w:sz w:val="20"/>
                <w:szCs w:val="20"/>
                <w:lang w:eastAsia="ru-RU"/>
              </w:rPr>
              <w:t>К</w:t>
            </w:r>
            <w:r w:rsidRPr="001B0933">
              <w:rPr>
                <w:rFonts w:ascii="Times New Roman" w:eastAsia="Times New Roman" w:hAnsi="Times New Roman" w:cs="Times New Roman"/>
                <w:sz w:val="20"/>
                <w:szCs w:val="20"/>
                <w:lang w:eastAsia="ru-RU"/>
              </w:rPr>
              <w:t xml:space="preserve"> РФ</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000 1 01 02020 01 0000 110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1 081,0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855,5</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-225,4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79,1</w:t>
            </w:r>
          </w:p>
        </w:tc>
      </w:tr>
      <w:tr w:rsidR="001B0933" w:rsidRPr="001B0933" w:rsidTr="001B0933">
        <w:trPr>
          <w:trHeight w:val="92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на доходы физических лиц с доходов, полученных физическими лицами в соответствии со статьей 228 НК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000 1 01 02030 01 0000 110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1 632,0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4 989,1</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3 357,1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305,7</w:t>
            </w:r>
          </w:p>
        </w:tc>
      </w:tr>
      <w:tr w:rsidR="001B0933" w:rsidRPr="001B0933" w:rsidTr="001B0933">
        <w:trPr>
          <w:trHeight w:val="195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 в соответствии со ста</w:t>
            </w:r>
            <w:r w:rsidR="00AE69E3">
              <w:rPr>
                <w:rFonts w:ascii="Times New Roman" w:eastAsia="Times New Roman" w:hAnsi="Times New Roman" w:cs="Times New Roman"/>
                <w:sz w:val="20"/>
                <w:szCs w:val="20"/>
                <w:lang w:eastAsia="ru-RU"/>
              </w:rPr>
              <w:t>тьей 227.1 НК кодекса Р</w:t>
            </w:r>
            <w:r w:rsidRPr="001B0933">
              <w:rPr>
                <w:rFonts w:ascii="Times New Roman" w:eastAsia="Times New Roman" w:hAnsi="Times New Roman" w:cs="Times New Roman"/>
                <w:sz w:val="20"/>
                <w:szCs w:val="20"/>
                <w:lang w:eastAsia="ru-RU"/>
              </w:rPr>
              <w:t>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000 1 01 02040 01 0000 110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2,1</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-34,6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-36,7</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25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НАЛОГИ НА СОВОКУПНЫЙ ДОХОД</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12 083,3</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14 965,5</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2 882,2</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123,9</w:t>
            </w:r>
          </w:p>
        </w:tc>
      </w:tr>
      <w:tr w:rsidR="001B0933" w:rsidRPr="001B0933" w:rsidTr="001B0933">
        <w:trPr>
          <w:trHeight w:val="36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000 1 05 01000 00 0000 110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8 438,2</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12 201,9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3 763,7</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144,6</w:t>
            </w:r>
          </w:p>
        </w:tc>
      </w:tr>
      <w:tr w:rsidR="001B0933" w:rsidRPr="001B0933" w:rsidTr="00AE69E3">
        <w:trPr>
          <w:trHeight w:val="13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000 1 05 01010 01 0000 110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4 638,0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4 866,9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228,9</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104,9</w:t>
            </w:r>
          </w:p>
        </w:tc>
      </w:tr>
      <w:tr w:rsidR="001B0933" w:rsidRPr="001B0933" w:rsidTr="001B0933">
        <w:trPr>
          <w:trHeight w:val="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 xml:space="preserve">Налог, взимаемый с налогоплательщиков, выбравших в качестве объекта </w:t>
            </w:r>
            <w:r w:rsidRPr="001B0933">
              <w:rPr>
                <w:rFonts w:ascii="Times New Roman" w:eastAsia="Times New Roman" w:hAnsi="Times New Roman" w:cs="Times New Roman"/>
                <w:sz w:val="20"/>
                <w:szCs w:val="20"/>
                <w:lang w:eastAsia="ru-RU"/>
              </w:rPr>
              <w:lastRenderedPageBreak/>
              <w:t>налогообложения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lastRenderedPageBreak/>
              <w:t>000 1 05 01011 01 0000 110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4 620,5</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4 541,6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-78,9</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98,3</w:t>
            </w:r>
          </w:p>
        </w:tc>
      </w:tr>
      <w:tr w:rsidR="001B0933" w:rsidRPr="001B0933" w:rsidTr="001B0933">
        <w:trPr>
          <w:trHeight w:val="8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lastRenderedPageBreak/>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000 1 05 01012 01 0000 110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17,5</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325,3</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307,8</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1 858,8</w:t>
            </w:r>
          </w:p>
        </w:tc>
      </w:tr>
      <w:tr w:rsidR="001B0933" w:rsidRPr="001B0933" w:rsidTr="001B0933">
        <w:trPr>
          <w:trHeight w:val="114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000 1 05 01020 01 0000 110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3 566,2</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5 243,2</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1 677,0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147,0</w:t>
            </w:r>
          </w:p>
        </w:tc>
      </w:tr>
      <w:tr w:rsidR="001B0933" w:rsidRPr="001B0933" w:rsidTr="001B0933">
        <w:trPr>
          <w:trHeight w:val="87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000 1 05 01021 01 0000 110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3 566,2</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4 924,6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1 358,4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138,1</w:t>
            </w:r>
          </w:p>
        </w:tc>
      </w:tr>
      <w:tr w:rsidR="001B0933" w:rsidRPr="001B0933" w:rsidTr="001B0933">
        <w:trPr>
          <w:trHeight w:val="76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000 1 05 01022 01 0000 110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318,6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318,6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000 1 05 01040 02 0000 110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133,0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112,6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84,7</w:t>
            </w:r>
          </w:p>
        </w:tc>
      </w:tr>
      <w:tr w:rsidR="001B0933" w:rsidRPr="001B0933" w:rsidTr="001B0933">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взимаемый в виде стоимости патента в связи с применением упрощенной системы налогообложения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000 1 05 01041 02 0000 110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133,0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79,0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-54,0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59,4</w:t>
            </w:r>
          </w:p>
        </w:tc>
      </w:tr>
      <w:tr w:rsidR="001B0933" w:rsidRPr="001B0933" w:rsidTr="001B0933">
        <w:trPr>
          <w:trHeight w:val="69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000 1 05 01042 02 0000 110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33,7</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33,7</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42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Минимальный налог, зачисляемый в бюджеты субъектов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000 1 05 01050 01 0000 110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101,0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1 979,0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1 878,0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1 959,5</w:t>
            </w:r>
          </w:p>
        </w:tc>
      </w:tr>
      <w:tr w:rsidR="001B0933" w:rsidRPr="001B0933" w:rsidTr="001B0933">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000 1 05 03000 01 0000 110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3 645,1</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2 763,7</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-881,4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75,8</w:t>
            </w:r>
          </w:p>
        </w:tc>
      </w:tr>
      <w:tr w:rsidR="001B0933" w:rsidRPr="001B0933" w:rsidTr="001B093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Единый сельскохозяйственный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000 1 05 03010 01 0000 110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3 645,1</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2 281,3</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-1 363,8</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62,6</w:t>
            </w:r>
          </w:p>
        </w:tc>
      </w:tr>
      <w:tr w:rsidR="001B0933" w:rsidRPr="001B0933" w:rsidTr="001B093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Единый сельскохозяйственный налог (за налоговые периоды, истекшие до 1 января 2011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000 1 05 03020 01 0000 110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482,4</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482,4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65 770,4</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25 055,4</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-40 715,1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38,1</w:t>
            </w:r>
          </w:p>
        </w:tc>
      </w:tr>
      <w:tr w:rsidR="001B0933" w:rsidRPr="001B0933" w:rsidTr="001B0933">
        <w:trPr>
          <w:trHeight w:val="17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на имущество физических лиц</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000 1 06 01000 00 0000 110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11 109,3</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7 870,9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-3 238,4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70,8</w:t>
            </w:r>
          </w:p>
        </w:tc>
      </w:tr>
      <w:tr w:rsidR="001B0933" w:rsidRPr="001B0933" w:rsidTr="001B0933">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 на имущество физических лиц, взимаемый по ставкам, применяемым к объектам налогообложения, расположенным в границах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000 1 06 01030 10 0000 110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11 109,3</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7 870,9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-3 238,4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70,8</w:t>
            </w:r>
          </w:p>
        </w:tc>
      </w:tr>
      <w:tr w:rsidR="001B0933" w:rsidRPr="001B0933" w:rsidTr="001B093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Земельный налог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000 1 06 06000 00 0000 110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54 661,1</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17 184,5</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-37 476,6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31,4</w:t>
            </w:r>
          </w:p>
        </w:tc>
      </w:tr>
      <w:tr w:rsidR="001B0933" w:rsidRPr="001B0933" w:rsidTr="0011436C">
        <w:trPr>
          <w:trHeight w:val="62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lastRenderedPageBreak/>
              <w:t>Земельный налог, взимаемый по ставкам, установленным в соответствии с подпунктом 1 пункта 1 статьи 394 Н</w:t>
            </w:r>
            <w:r w:rsidR="00AE69E3">
              <w:rPr>
                <w:rFonts w:ascii="Times New Roman" w:eastAsia="Times New Roman" w:hAnsi="Times New Roman" w:cs="Times New Roman"/>
                <w:sz w:val="20"/>
                <w:szCs w:val="20"/>
                <w:lang w:eastAsia="ru-RU"/>
              </w:rPr>
              <w:t>К</w:t>
            </w:r>
            <w:r w:rsidRPr="001B0933">
              <w:rPr>
                <w:rFonts w:ascii="Times New Roman" w:eastAsia="Times New Roman" w:hAnsi="Times New Roman" w:cs="Times New Roman"/>
                <w:sz w:val="20"/>
                <w:szCs w:val="20"/>
                <w:lang w:eastAsia="ru-RU"/>
              </w:rPr>
              <w:t xml:space="preserve">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000 1 06 06010 00 0000 110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44 572,4</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14 246,4</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-30 326,0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32,0</w:t>
            </w:r>
          </w:p>
        </w:tc>
      </w:tr>
      <w:tr w:rsidR="001B0933" w:rsidRPr="001B0933" w:rsidTr="00AE69E3">
        <w:trPr>
          <w:trHeight w:val="158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 xml:space="preserve">Земельный налог, взимаемый по ставкам, установленным в соответствии с подпунктом 1 пункта 1 статьи 394 </w:t>
            </w:r>
            <w:r w:rsidR="00AE69E3">
              <w:rPr>
                <w:rFonts w:ascii="Times New Roman" w:eastAsia="Times New Roman" w:hAnsi="Times New Roman" w:cs="Times New Roman"/>
                <w:sz w:val="20"/>
                <w:szCs w:val="20"/>
                <w:lang w:eastAsia="ru-RU"/>
              </w:rPr>
              <w:t>НК</w:t>
            </w:r>
            <w:r w:rsidRPr="001B0933">
              <w:rPr>
                <w:rFonts w:ascii="Times New Roman" w:eastAsia="Times New Roman" w:hAnsi="Times New Roman" w:cs="Times New Roman"/>
                <w:sz w:val="20"/>
                <w:szCs w:val="20"/>
                <w:lang w:eastAsia="ru-RU"/>
              </w:rPr>
              <w:t xml:space="preserve"> РФ и применяемым к объектам налогообложения, расположенным в границах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000 1 06 06013 10 0000 110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44 572,4</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14 246,4</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-30 326,0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32,0</w:t>
            </w:r>
          </w:p>
        </w:tc>
      </w:tr>
      <w:tr w:rsidR="001B0933" w:rsidRPr="001B0933" w:rsidTr="00AE69E3">
        <w:trPr>
          <w:trHeight w:val="76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w:t>
            </w:r>
            <w:r w:rsidR="00AE69E3">
              <w:rPr>
                <w:rFonts w:ascii="Times New Roman" w:eastAsia="Times New Roman" w:hAnsi="Times New Roman" w:cs="Times New Roman"/>
                <w:sz w:val="20"/>
                <w:szCs w:val="20"/>
                <w:lang w:eastAsia="ru-RU"/>
              </w:rPr>
              <w:t>К</w:t>
            </w:r>
            <w:r w:rsidRPr="001B0933">
              <w:rPr>
                <w:rFonts w:ascii="Times New Roman" w:eastAsia="Times New Roman" w:hAnsi="Times New Roman" w:cs="Times New Roman"/>
                <w:sz w:val="20"/>
                <w:szCs w:val="20"/>
                <w:lang w:eastAsia="ru-RU"/>
              </w:rPr>
              <w:t xml:space="preserve"> РФ</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000 1 06 06020 00 0000 110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10 088,7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2 938,1</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-7 150,6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29,1</w:t>
            </w:r>
          </w:p>
        </w:tc>
      </w:tr>
      <w:tr w:rsidR="001B0933" w:rsidRPr="001B0933" w:rsidTr="00AE69E3">
        <w:trPr>
          <w:trHeight w:val="157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AE69E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Земельный налог, взимаемый по ставкам, установленным в соответствии с подпунктом 2 пункта 1 статьи 394 Н</w:t>
            </w:r>
            <w:r w:rsidR="00AE69E3">
              <w:rPr>
                <w:rFonts w:ascii="Times New Roman" w:eastAsia="Times New Roman" w:hAnsi="Times New Roman" w:cs="Times New Roman"/>
                <w:sz w:val="20"/>
                <w:szCs w:val="20"/>
                <w:lang w:eastAsia="ru-RU"/>
              </w:rPr>
              <w:t>К</w:t>
            </w:r>
            <w:r w:rsidRPr="001B0933">
              <w:rPr>
                <w:rFonts w:ascii="Times New Roman" w:eastAsia="Times New Roman" w:hAnsi="Times New Roman" w:cs="Times New Roman"/>
                <w:sz w:val="20"/>
                <w:szCs w:val="20"/>
                <w:lang w:eastAsia="ru-RU"/>
              </w:rPr>
              <w:t xml:space="preserve"> РФ и применяемым к объектам налогообложения, расположенным в границах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000 1 06 06023 10 0000 110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10 088,7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2 938,1</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-7 150,6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29,1</w:t>
            </w:r>
          </w:p>
        </w:tc>
      </w:tr>
      <w:tr w:rsidR="001B0933" w:rsidRPr="001B0933" w:rsidTr="001B0933">
        <w:trPr>
          <w:trHeight w:val="12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ЗАДОЛЖЕННОСТЬ И ПЕРЕРАСЧЕТЫ ПО ОТМЕНЕННЫМ НАЛОГАМ, СБОРАМ И ИНЫМ ОБЯЗАТЕЛЬНЫМ ПЛАТЕЖАМ</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000 1 09 00000 00 0000 000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Налоги на имущество</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000 1 09 04000 00 0000 110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Земельный налог (по обязательствам, возникшим до 1 января 2006 года)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000 1 09 04050 00 0000 110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44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Земельный налог (по обязательствам, возникшим до 1 января 2006 года), мобилизуемый на территориях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000 1 09 04053 10 0000 110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573,9</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ИСПОЛЬЗОВАНИЯ ИМУЩЕСТВА, НАХОДЯЩЕГОСЯ В ГОСУДАРСТВЕННОЙ И МУНИЦИПАЛЬНОЙ СОБСТВЕННОСТИ</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000 1 11 00000 00 0000 000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2 035,5</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4 700,5</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2 665,0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230,9</w:t>
            </w:r>
          </w:p>
        </w:tc>
      </w:tr>
      <w:tr w:rsidR="001B0933" w:rsidRPr="001B0933" w:rsidTr="00AE69E3">
        <w:trPr>
          <w:trHeight w:val="27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000 1 11 05000 00 0000 120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2 035,5</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4 700,5</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2 665,0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230,9</w:t>
            </w:r>
          </w:p>
        </w:tc>
      </w:tr>
      <w:tr w:rsidR="001B0933" w:rsidRPr="001B0933" w:rsidTr="001B0933">
        <w:trPr>
          <w:trHeight w:val="24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proofErr w:type="gramStart"/>
            <w:r w:rsidRPr="001B0933">
              <w:rPr>
                <w:rFonts w:ascii="Times New Roman" w:eastAsia="Times New Roman" w:hAnsi="Times New Roman" w:cs="Times New Roman"/>
                <w:sz w:val="20"/>
                <w:szCs w:val="20"/>
                <w:lang w:eastAsia="ru-RU"/>
              </w:rPr>
              <w:lastRenderedPageBreak/>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roofErr w:type="gramEnd"/>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000 1 11 05020 00 0000 120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2 007,5</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4 269,9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2 262,4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212,7</w:t>
            </w:r>
          </w:p>
        </w:tc>
      </w:tr>
      <w:tr w:rsidR="001B0933" w:rsidRPr="001B0933" w:rsidTr="001B0933">
        <w:trPr>
          <w:trHeight w:val="21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поселений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000 1 11 05025 10 0000 120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2 007,5</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4 269,9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2 262,4</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212,7</w:t>
            </w:r>
          </w:p>
        </w:tc>
      </w:tr>
      <w:tr w:rsidR="001B0933" w:rsidRPr="001B0933" w:rsidTr="00AE69E3">
        <w:trPr>
          <w:trHeight w:val="98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000 1 11 05030 00 0000 120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430,6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402,6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1 538,0</w:t>
            </w:r>
          </w:p>
        </w:tc>
      </w:tr>
      <w:tr w:rsidR="001B0933" w:rsidRPr="001B0933" w:rsidTr="00AE69E3">
        <w:trPr>
          <w:trHeight w:val="137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сдачи в аренду имущества, находящегося в оперативном управлении органов управления поселений и созданных ими учреждений (за исключением имущества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000 1 11 05035 10 0000 120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430,6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402,6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1 538,0</w:t>
            </w:r>
          </w:p>
        </w:tc>
      </w:tr>
      <w:tr w:rsidR="001B0933" w:rsidRPr="001B0933" w:rsidTr="00AE69E3">
        <w:trPr>
          <w:trHeight w:val="52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ОКАЗАНИЯ ПЛАТНЫХ УСЛУГ (РАБОТ) И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3 109,8</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3 385,9</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276,1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108,9</w:t>
            </w:r>
          </w:p>
        </w:tc>
      </w:tr>
      <w:tr w:rsidR="001B0933" w:rsidRPr="001B0933" w:rsidTr="00AE69E3">
        <w:trPr>
          <w:trHeight w:val="16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000 1 13 01000 00 0000 130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302,7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326,2</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23,5</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107,8</w:t>
            </w:r>
          </w:p>
        </w:tc>
      </w:tr>
      <w:tr w:rsidR="001B0933" w:rsidRPr="001B0933" w:rsidTr="00AE69E3">
        <w:trPr>
          <w:trHeight w:val="11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доходы от оказания платных услуг (работ)</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000 1 13 01990 00 0000 130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302,7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326,2</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23,5</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107,8</w:t>
            </w:r>
          </w:p>
        </w:tc>
      </w:tr>
      <w:tr w:rsidR="001B0933" w:rsidRPr="001B0933" w:rsidTr="00AE69E3">
        <w:trPr>
          <w:trHeight w:val="777"/>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доходы от оказания платных услуг (работ) получателями средств бюджетов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000 1 13 01995 10 0000 130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302,7</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326,2</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23,5</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107,8</w:t>
            </w:r>
          </w:p>
        </w:tc>
      </w:tr>
      <w:tr w:rsidR="001B0933" w:rsidRPr="001B0933" w:rsidTr="00AE69E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000 1 13 02000 00 0000 130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2 807,0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3 059,6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252,6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109,0</w:t>
            </w:r>
          </w:p>
        </w:tc>
      </w:tr>
      <w:tr w:rsidR="001B0933" w:rsidRPr="001B0933" w:rsidTr="00AE69E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доходы от компенсации затрат государства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000 1 13 02990 00 0000 130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2 807,0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3 059,6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252,6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109,0</w:t>
            </w:r>
          </w:p>
        </w:tc>
      </w:tr>
      <w:tr w:rsidR="001B0933" w:rsidRPr="001B0933" w:rsidTr="00AE69E3">
        <w:trPr>
          <w:trHeight w:val="17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доходы от компенсации затрат бюджетов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000 1 13 02995 10 0000 130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2 807,0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3 059,6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252,6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109,0</w:t>
            </w:r>
          </w:p>
        </w:tc>
      </w:tr>
      <w:tr w:rsidR="001B0933" w:rsidRPr="001B0933" w:rsidTr="001B0933">
        <w:trPr>
          <w:trHeight w:val="9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ПРОДАЖИ МАТЕРИАЛЬНЫХ И НЕМАТЕРИАЛЬНЫХ АКТИВОВ</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85,0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46,3</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-38,8</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54,4</w:t>
            </w:r>
          </w:p>
        </w:tc>
      </w:tr>
      <w:tr w:rsidR="001B0933" w:rsidRPr="001B0933" w:rsidTr="00AE69E3">
        <w:trPr>
          <w:trHeight w:val="197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lastRenderedPageBreak/>
              <w:t>Доходы от реализации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000 1 14 02000 00 0000 000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24,0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46,3</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22,3</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192,7</w:t>
            </w:r>
          </w:p>
        </w:tc>
      </w:tr>
      <w:tr w:rsidR="001B0933" w:rsidRPr="001B0933" w:rsidTr="00AE69E3">
        <w:trPr>
          <w:trHeight w:val="2136"/>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реализации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000 1 14 02050 10 0000 410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24,0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46,3</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22,3</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192,7</w:t>
            </w:r>
          </w:p>
        </w:tc>
      </w:tr>
      <w:tr w:rsidR="001B0933" w:rsidRPr="001B0933" w:rsidTr="00AE69E3">
        <w:trPr>
          <w:trHeight w:val="1279"/>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реализации имущества, находящегося в оперативном управлении учреждений, находящихся в ведении органов управления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000 1 14 02052 10 0000 410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24,0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26,3</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2,3</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109,4</w:t>
            </w:r>
          </w:p>
        </w:tc>
      </w:tr>
      <w:tr w:rsidR="001B0933" w:rsidRPr="001B0933" w:rsidTr="00AE69E3">
        <w:trPr>
          <w:trHeight w:val="144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реализации иного имущества, находящегося в собственности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000 1 14 02053 10 0000 410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884"/>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 xml:space="preserve"> Доходы    от    продажи    земельных    участков, находящихся в государственной и муниципальной собственности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000 1 14 06000 00 0000 430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61,0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-61,0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55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000 1 14 06020 00 0000 430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61,0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-61,0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15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lastRenderedPageBreak/>
              <w:t>Доходы от продажи земельных участков, находящихся в собственности поселений (за исключением земельных участков муниципальных бюджетных и автономных учреждений)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000 1 14 06025 10 0000 430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61,0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-61,0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35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ШТРАФЫ, САНКЦИИ, ВОЗМЕЩЕНИЕ УЩЕРБА</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000 1 16 00000 00 0000 000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882"/>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000 1 16 33000 00 0000 140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1328"/>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Денежные взыскания (штрафы) за нарушение законодательства Российской Федерации о размещении заказов на поставки товаров, выполнение работ, оказание услуг для нужд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000 1 16 33050 10 0000 140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3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000 1 17 00000 00 0000 000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236,0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837,7</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601,7</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354,9</w:t>
            </w:r>
          </w:p>
        </w:tc>
      </w:tr>
      <w:tr w:rsidR="001B0933" w:rsidRPr="001B0933" w:rsidTr="00AE69E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Невыясненные поступления</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000 1 17 01000 00 0000 180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206,6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206,6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1B0933">
        <w:trPr>
          <w:trHeight w:val="600"/>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Невыясненные поступления, зачисляемые в бюджеты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000 1 17 01050 10 0000 180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0,0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206,6</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206,6</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0,0</w:t>
            </w:r>
          </w:p>
        </w:tc>
      </w:tr>
      <w:tr w:rsidR="001B0933" w:rsidRPr="001B0933" w:rsidTr="00AE69E3">
        <w:trPr>
          <w:trHeight w:val="61"/>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неналоговые доходы</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000 1 17 05000 00 0000 180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236,0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631,1</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395,1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267,4</w:t>
            </w:r>
          </w:p>
        </w:tc>
      </w:tr>
      <w:tr w:rsidR="001B0933" w:rsidRPr="001B0933" w:rsidTr="00AE69E3">
        <w:trPr>
          <w:trHeight w:val="183"/>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933" w:rsidRPr="001B0933" w:rsidRDefault="001B0933" w:rsidP="001B0933">
            <w:pPr>
              <w:spacing w:after="0" w:line="240" w:lineRule="auto"/>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Прочие неналоговые доходы бюджетов поселений</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center"/>
              <w:rPr>
                <w:rFonts w:ascii="Times New Roman" w:eastAsia="Times New Roman" w:hAnsi="Times New Roman" w:cs="Times New Roman"/>
                <w:sz w:val="18"/>
                <w:szCs w:val="18"/>
                <w:lang w:eastAsia="ru-RU"/>
              </w:rPr>
            </w:pPr>
            <w:r w:rsidRPr="001B0933">
              <w:rPr>
                <w:rFonts w:ascii="Times New Roman" w:eastAsia="Times New Roman" w:hAnsi="Times New Roman" w:cs="Times New Roman"/>
                <w:sz w:val="18"/>
                <w:szCs w:val="18"/>
                <w:lang w:eastAsia="ru-RU"/>
              </w:rPr>
              <w:t>000 1 17 05050 10 0000 180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sz w:val="20"/>
                <w:szCs w:val="20"/>
                <w:lang w:eastAsia="ru-RU"/>
              </w:rPr>
            </w:pPr>
            <w:r w:rsidRPr="001B0933">
              <w:rPr>
                <w:rFonts w:ascii="Times New Roman" w:eastAsia="Times New Roman" w:hAnsi="Times New Roman" w:cs="Times New Roman"/>
                <w:sz w:val="20"/>
                <w:szCs w:val="20"/>
                <w:lang w:eastAsia="ru-RU"/>
              </w:rPr>
              <w:t>236,0</w:t>
            </w:r>
          </w:p>
        </w:tc>
        <w:tc>
          <w:tcPr>
            <w:tcW w:w="12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631,1</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395,1</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0933" w:rsidRPr="001B0933" w:rsidRDefault="001B0933" w:rsidP="001B0933">
            <w:pPr>
              <w:spacing w:after="0" w:line="240" w:lineRule="auto"/>
              <w:jc w:val="right"/>
              <w:rPr>
                <w:rFonts w:ascii="Times New Roman" w:eastAsia="Times New Roman" w:hAnsi="Times New Roman" w:cs="Times New Roman"/>
                <w:color w:val="000000"/>
                <w:sz w:val="20"/>
                <w:szCs w:val="20"/>
                <w:lang w:eastAsia="ru-RU"/>
              </w:rPr>
            </w:pPr>
            <w:r w:rsidRPr="001B0933">
              <w:rPr>
                <w:rFonts w:ascii="Times New Roman" w:eastAsia="Times New Roman" w:hAnsi="Times New Roman" w:cs="Times New Roman"/>
                <w:color w:val="000000"/>
                <w:sz w:val="20"/>
                <w:szCs w:val="20"/>
                <w:lang w:eastAsia="ru-RU"/>
              </w:rPr>
              <w:t>267,4</w:t>
            </w:r>
          </w:p>
        </w:tc>
      </w:tr>
    </w:tbl>
    <w:p w:rsidR="001B0933" w:rsidRDefault="001B0933" w:rsidP="000D6B0B">
      <w:pPr>
        <w:spacing w:after="0" w:line="360" w:lineRule="auto"/>
        <w:ind w:firstLine="709"/>
        <w:jc w:val="both"/>
        <w:rPr>
          <w:rFonts w:ascii="Times New Roman" w:hAnsi="Times New Roman" w:cs="Times New Roman"/>
          <w:sz w:val="28"/>
          <w:szCs w:val="28"/>
        </w:rPr>
      </w:pPr>
    </w:p>
    <w:p w:rsidR="00AE69E3" w:rsidRDefault="00AE69E3" w:rsidP="000D6B0B">
      <w:pPr>
        <w:spacing w:after="0" w:line="360" w:lineRule="auto"/>
        <w:ind w:firstLine="709"/>
        <w:jc w:val="both"/>
        <w:rPr>
          <w:rFonts w:ascii="Times New Roman" w:hAnsi="Times New Roman" w:cs="Times New Roman"/>
          <w:sz w:val="28"/>
          <w:szCs w:val="28"/>
        </w:rPr>
      </w:pPr>
    </w:p>
    <w:tbl>
      <w:tblPr>
        <w:tblW w:w="10349" w:type="dxa"/>
        <w:tblInd w:w="-459" w:type="dxa"/>
        <w:tblLook w:val="04A0" w:firstRow="1" w:lastRow="0" w:firstColumn="1" w:lastColumn="0" w:noHBand="0" w:noVBand="1"/>
      </w:tblPr>
      <w:tblGrid>
        <w:gridCol w:w="2268"/>
        <w:gridCol w:w="1560"/>
        <w:gridCol w:w="1417"/>
        <w:gridCol w:w="1281"/>
        <w:gridCol w:w="1413"/>
        <w:gridCol w:w="1321"/>
        <w:gridCol w:w="1089"/>
      </w:tblGrid>
      <w:tr w:rsidR="007C19EC" w:rsidRPr="007C19EC" w:rsidTr="00623DC1">
        <w:trPr>
          <w:trHeight w:val="172"/>
        </w:trPr>
        <w:tc>
          <w:tcPr>
            <w:tcW w:w="10349" w:type="dxa"/>
            <w:gridSpan w:val="7"/>
            <w:tcBorders>
              <w:top w:val="nil"/>
              <w:left w:val="nil"/>
              <w:bottom w:val="nil"/>
              <w:right w:val="nil"/>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Доходы консолидированного бюджета в динамике лет</w:t>
            </w:r>
          </w:p>
        </w:tc>
      </w:tr>
      <w:tr w:rsidR="007C19EC" w:rsidRPr="007C19EC" w:rsidTr="00623DC1">
        <w:trPr>
          <w:trHeight w:val="189"/>
        </w:trPr>
        <w:tc>
          <w:tcPr>
            <w:tcW w:w="2268"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Arial CYR" w:eastAsia="Times New Roman" w:hAnsi="Arial CYR" w:cs="Arial CYR"/>
                <w:sz w:val="20"/>
                <w:szCs w:val="20"/>
                <w:lang w:eastAsia="ru-RU"/>
              </w:rPr>
            </w:pPr>
          </w:p>
        </w:tc>
        <w:tc>
          <w:tcPr>
            <w:tcW w:w="1560"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Arial CYR" w:eastAsia="Times New Roman" w:hAnsi="Arial CYR" w:cs="Arial CYR"/>
                <w:sz w:val="20"/>
                <w:szCs w:val="20"/>
                <w:lang w:eastAsia="ru-RU"/>
              </w:rPr>
            </w:pPr>
          </w:p>
        </w:tc>
        <w:tc>
          <w:tcPr>
            <w:tcW w:w="1417"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Arial CYR" w:eastAsia="Times New Roman" w:hAnsi="Arial CYR" w:cs="Arial CYR"/>
                <w:sz w:val="20"/>
                <w:szCs w:val="20"/>
                <w:lang w:eastAsia="ru-RU"/>
              </w:rPr>
            </w:pPr>
          </w:p>
        </w:tc>
        <w:tc>
          <w:tcPr>
            <w:tcW w:w="1281"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Arial CYR" w:eastAsia="Times New Roman" w:hAnsi="Arial CYR" w:cs="Arial CYR"/>
                <w:sz w:val="20"/>
                <w:szCs w:val="20"/>
                <w:lang w:eastAsia="ru-RU"/>
              </w:rPr>
            </w:pPr>
          </w:p>
        </w:tc>
        <w:tc>
          <w:tcPr>
            <w:tcW w:w="1413" w:type="dxa"/>
            <w:tcBorders>
              <w:top w:val="nil"/>
              <w:left w:val="nil"/>
              <w:bottom w:val="nil"/>
              <w:right w:val="nil"/>
            </w:tcBorders>
            <w:shd w:val="clear" w:color="auto" w:fill="auto"/>
            <w:noWrap/>
            <w:vAlign w:val="bottom"/>
            <w:hideMark/>
          </w:tcPr>
          <w:p w:rsidR="007C19EC" w:rsidRPr="007C19EC" w:rsidRDefault="00623DC1" w:rsidP="007C19EC">
            <w:pPr>
              <w:spacing w:after="0" w:line="240" w:lineRule="auto"/>
              <w:rPr>
                <w:rFonts w:ascii="Arial CYR" w:eastAsia="Times New Roman" w:hAnsi="Arial CYR" w:cs="Arial CYR"/>
                <w:sz w:val="20"/>
                <w:szCs w:val="20"/>
                <w:lang w:eastAsia="ru-RU"/>
              </w:rPr>
            </w:pPr>
            <w:r w:rsidRPr="007C19EC">
              <w:rPr>
                <w:rFonts w:ascii="Times New Roman" w:eastAsia="Times New Roman" w:hAnsi="Times New Roman" w:cs="Times New Roman"/>
                <w:b/>
                <w:bCs/>
                <w:sz w:val="20"/>
                <w:szCs w:val="20"/>
                <w:lang w:eastAsia="ru-RU"/>
              </w:rPr>
              <w:t>ед. изм.</w:t>
            </w:r>
          </w:p>
        </w:tc>
        <w:tc>
          <w:tcPr>
            <w:tcW w:w="1321" w:type="dxa"/>
            <w:tcBorders>
              <w:top w:val="nil"/>
              <w:left w:val="nil"/>
              <w:bottom w:val="nil"/>
              <w:right w:val="nil"/>
            </w:tcBorders>
            <w:shd w:val="clear" w:color="auto" w:fill="auto"/>
            <w:noWrap/>
            <w:vAlign w:val="bottom"/>
            <w:hideMark/>
          </w:tcPr>
          <w:p w:rsidR="007C19EC" w:rsidRPr="007C19EC" w:rsidRDefault="00623DC1" w:rsidP="00623DC1">
            <w:pPr>
              <w:spacing w:after="0" w:line="240" w:lineRule="auto"/>
              <w:jc w:val="right"/>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тыс.</w:t>
            </w:r>
          </w:p>
        </w:tc>
        <w:tc>
          <w:tcPr>
            <w:tcW w:w="1089"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рублей</w:t>
            </w:r>
          </w:p>
        </w:tc>
      </w:tr>
      <w:tr w:rsidR="007C19EC" w:rsidRPr="007C19EC" w:rsidTr="00623DC1">
        <w:trPr>
          <w:trHeight w:val="835"/>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Вид дохода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План</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623DC1">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Уд</w:t>
            </w:r>
            <w:proofErr w:type="gramStart"/>
            <w:r w:rsidRPr="007C19EC">
              <w:rPr>
                <w:rFonts w:ascii="Times New Roman" w:eastAsia="Times New Roman" w:hAnsi="Times New Roman" w:cs="Times New Roman"/>
                <w:b/>
                <w:bCs/>
                <w:sz w:val="20"/>
                <w:szCs w:val="20"/>
                <w:lang w:eastAsia="ru-RU"/>
              </w:rPr>
              <w:t>.</w:t>
            </w:r>
            <w:proofErr w:type="gramEnd"/>
            <w:r w:rsidRPr="007C19EC">
              <w:rPr>
                <w:rFonts w:ascii="Times New Roman" w:eastAsia="Times New Roman" w:hAnsi="Times New Roman" w:cs="Times New Roman"/>
                <w:b/>
                <w:bCs/>
                <w:sz w:val="20"/>
                <w:szCs w:val="20"/>
                <w:lang w:eastAsia="ru-RU"/>
              </w:rPr>
              <w:t xml:space="preserve"> </w:t>
            </w:r>
            <w:proofErr w:type="gramStart"/>
            <w:r w:rsidRPr="007C19EC">
              <w:rPr>
                <w:rFonts w:ascii="Times New Roman" w:eastAsia="Times New Roman" w:hAnsi="Times New Roman" w:cs="Times New Roman"/>
                <w:b/>
                <w:bCs/>
                <w:sz w:val="20"/>
                <w:szCs w:val="20"/>
                <w:lang w:eastAsia="ru-RU"/>
              </w:rPr>
              <w:t>в</w:t>
            </w:r>
            <w:proofErr w:type="gramEnd"/>
            <w:r w:rsidRPr="007C19EC">
              <w:rPr>
                <w:rFonts w:ascii="Times New Roman" w:eastAsia="Times New Roman" w:hAnsi="Times New Roman" w:cs="Times New Roman"/>
                <w:b/>
                <w:bCs/>
                <w:sz w:val="20"/>
                <w:szCs w:val="20"/>
                <w:lang w:eastAsia="ru-RU"/>
              </w:rPr>
              <w:t xml:space="preserve">ес. в структуре общ. </w:t>
            </w:r>
            <w:r w:rsidR="00623DC1">
              <w:rPr>
                <w:rFonts w:ascii="Times New Roman" w:eastAsia="Times New Roman" w:hAnsi="Times New Roman" w:cs="Times New Roman"/>
                <w:b/>
                <w:bCs/>
                <w:sz w:val="20"/>
                <w:szCs w:val="20"/>
                <w:lang w:eastAsia="ru-RU"/>
              </w:rPr>
              <w:t>д</w:t>
            </w:r>
            <w:r w:rsidRPr="007C19EC">
              <w:rPr>
                <w:rFonts w:ascii="Times New Roman" w:eastAsia="Times New Roman" w:hAnsi="Times New Roman" w:cs="Times New Roman"/>
                <w:b/>
                <w:bCs/>
                <w:sz w:val="20"/>
                <w:szCs w:val="20"/>
                <w:lang w:eastAsia="ru-RU"/>
              </w:rPr>
              <w:t>оходов</w:t>
            </w:r>
          </w:p>
        </w:tc>
        <w:tc>
          <w:tcPr>
            <w:tcW w:w="1281"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Факт</w:t>
            </w:r>
          </w:p>
        </w:tc>
        <w:tc>
          <w:tcPr>
            <w:tcW w:w="1413"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623DC1">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Уд</w:t>
            </w:r>
            <w:proofErr w:type="gramStart"/>
            <w:r w:rsidRPr="007C19EC">
              <w:rPr>
                <w:rFonts w:ascii="Times New Roman" w:eastAsia="Times New Roman" w:hAnsi="Times New Roman" w:cs="Times New Roman"/>
                <w:b/>
                <w:bCs/>
                <w:sz w:val="20"/>
                <w:szCs w:val="20"/>
                <w:lang w:eastAsia="ru-RU"/>
              </w:rPr>
              <w:t>.</w:t>
            </w:r>
            <w:proofErr w:type="gramEnd"/>
            <w:r w:rsidRPr="007C19EC">
              <w:rPr>
                <w:rFonts w:ascii="Times New Roman" w:eastAsia="Times New Roman" w:hAnsi="Times New Roman" w:cs="Times New Roman"/>
                <w:b/>
                <w:bCs/>
                <w:sz w:val="20"/>
                <w:szCs w:val="20"/>
                <w:lang w:eastAsia="ru-RU"/>
              </w:rPr>
              <w:t xml:space="preserve"> </w:t>
            </w:r>
            <w:proofErr w:type="gramStart"/>
            <w:r w:rsidRPr="007C19EC">
              <w:rPr>
                <w:rFonts w:ascii="Times New Roman" w:eastAsia="Times New Roman" w:hAnsi="Times New Roman" w:cs="Times New Roman"/>
                <w:b/>
                <w:bCs/>
                <w:sz w:val="20"/>
                <w:szCs w:val="20"/>
                <w:lang w:eastAsia="ru-RU"/>
              </w:rPr>
              <w:t>в</w:t>
            </w:r>
            <w:proofErr w:type="gramEnd"/>
            <w:r w:rsidRPr="007C19EC">
              <w:rPr>
                <w:rFonts w:ascii="Times New Roman" w:eastAsia="Times New Roman" w:hAnsi="Times New Roman" w:cs="Times New Roman"/>
                <w:b/>
                <w:bCs/>
                <w:sz w:val="20"/>
                <w:szCs w:val="20"/>
                <w:lang w:eastAsia="ru-RU"/>
              </w:rPr>
              <w:t xml:space="preserve">ес. в структуре общ. </w:t>
            </w:r>
            <w:r w:rsidR="00623DC1">
              <w:rPr>
                <w:rFonts w:ascii="Times New Roman" w:eastAsia="Times New Roman" w:hAnsi="Times New Roman" w:cs="Times New Roman"/>
                <w:b/>
                <w:bCs/>
                <w:sz w:val="20"/>
                <w:szCs w:val="20"/>
                <w:lang w:eastAsia="ru-RU"/>
              </w:rPr>
              <w:t>д</w:t>
            </w:r>
            <w:r w:rsidRPr="007C19EC">
              <w:rPr>
                <w:rFonts w:ascii="Times New Roman" w:eastAsia="Times New Roman" w:hAnsi="Times New Roman" w:cs="Times New Roman"/>
                <w:b/>
                <w:bCs/>
                <w:sz w:val="20"/>
                <w:szCs w:val="20"/>
                <w:lang w:eastAsia="ru-RU"/>
              </w:rPr>
              <w:t>оходов</w:t>
            </w:r>
          </w:p>
        </w:tc>
        <w:tc>
          <w:tcPr>
            <w:tcW w:w="1321"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Отклонение</w:t>
            </w:r>
          </w:p>
        </w:tc>
        <w:tc>
          <w:tcPr>
            <w:tcW w:w="1089"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623DC1">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исп</w:t>
            </w:r>
            <w:r w:rsidR="00623DC1">
              <w:rPr>
                <w:rFonts w:ascii="Times New Roman" w:eastAsia="Times New Roman" w:hAnsi="Times New Roman" w:cs="Times New Roman"/>
                <w:b/>
                <w:bCs/>
                <w:sz w:val="20"/>
                <w:szCs w:val="20"/>
                <w:lang w:eastAsia="ru-RU"/>
              </w:rPr>
              <w:t>.</w:t>
            </w:r>
          </w:p>
        </w:tc>
      </w:tr>
      <w:tr w:rsidR="007C19EC" w:rsidRPr="007C19EC" w:rsidTr="00623DC1">
        <w:trPr>
          <w:trHeight w:val="71"/>
        </w:trPr>
        <w:tc>
          <w:tcPr>
            <w:tcW w:w="10349"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2012г</w:t>
            </w:r>
          </w:p>
        </w:tc>
      </w:tr>
      <w:tr w:rsidR="007C19EC" w:rsidRPr="007C19EC" w:rsidTr="00623DC1">
        <w:trPr>
          <w:trHeight w:val="158"/>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79 068 111,7</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78 303 356,2</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-764 755,5</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99,0%</w:t>
            </w:r>
          </w:p>
        </w:tc>
      </w:tr>
      <w:tr w:rsidR="007C19EC" w:rsidRPr="007C19EC" w:rsidTr="00623DC1">
        <w:trPr>
          <w:trHeight w:val="71"/>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11 897 658,3</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15,0%</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11 261 277,8</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14,4%</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-636 380,6</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94,7%</w:t>
            </w:r>
          </w:p>
        </w:tc>
      </w:tr>
      <w:tr w:rsidR="007C19EC" w:rsidRPr="007C19EC" w:rsidTr="00623DC1">
        <w:trPr>
          <w:trHeight w:val="71"/>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351 344,8</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0,4%</w:t>
            </w:r>
          </w:p>
        </w:tc>
        <w:tc>
          <w:tcPr>
            <w:tcW w:w="128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389 328,5</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0,5%</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-37 983,6</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110,8%</w:t>
            </w:r>
          </w:p>
        </w:tc>
      </w:tr>
      <w:tr w:rsidR="007C19EC" w:rsidRPr="007C19EC" w:rsidTr="00623DC1">
        <w:trPr>
          <w:trHeight w:val="5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66 819 108,5</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84,5%</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66 652 750,0</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85,1%</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-166 358,6</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99,8%</w:t>
            </w:r>
          </w:p>
        </w:tc>
      </w:tr>
      <w:tr w:rsidR="007C19EC" w:rsidRPr="007C19EC" w:rsidTr="00623DC1">
        <w:trPr>
          <w:trHeight w:val="91"/>
        </w:trPr>
        <w:tc>
          <w:tcPr>
            <w:tcW w:w="10349"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2011г.</w:t>
            </w:r>
          </w:p>
        </w:tc>
      </w:tr>
      <w:tr w:rsidR="007C19EC" w:rsidRPr="007C19EC" w:rsidTr="00623DC1">
        <w:trPr>
          <w:trHeight w:val="2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79 923 638,4</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78 917 147,6</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-1 006 490,8</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98,7%</w:t>
            </w:r>
          </w:p>
        </w:tc>
      </w:tr>
      <w:tr w:rsidR="007C19EC" w:rsidRPr="007C19EC" w:rsidTr="00623DC1">
        <w:trPr>
          <w:trHeight w:val="116"/>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9 986 188,1</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12,5%</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9 903 529,0</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12,5%</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-82 659,1</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99,2%</w:t>
            </w:r>
          </w:p>
        </w:tc>
      </w:tr>
      <w:tr w:rsidR="007C19EC" w:rsidRPr="007C19EC" w:rsidTr="00623DC1">
        <w:trPr>
          <w:trHeight w:val="71"/>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391 141,6</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0,5%</w:t>
            </w:r>
          </w:p>
        </w:tc>
        <w:tc>
          <w:tcPr>
            <w:tcW w:w="128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450 840,0</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0,6%</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59 698,4</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115,3%</w:t>
            </w:r>
          </w:p>
        </w:tc>
      </w:tr>
      <w:tr w:rsidR="007C19EC" w:rsidRPr="007C19EC" w:rsidTr="00623DC1">
        <w:trPr>
          <w:trHeight w:val="449"/>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69 546 308,7</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87,0%</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68 562 778,6</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86,9%</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-983 530,1</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98,6%</w:t>
            </w:r>
          </w:p>
        </w:tc>
      </w:tr>
      <w:tr w:rsidR="007C19EC" w:rsidRPr="007C19EC" w:rsidTr="00623DC1">
        <w:trPr>
          <w:trHeight w:val="71"/>
        </w:trPr>
        <w:tc>
          <w:tcPr>
            <w:tcW w:w="10349"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2010г.</w:t>
            </w:r>
          </w:p>
        </w:tc>
      </w:tr>
      <w:tr w:rsidR="007C19EC" w:rsidRPr="007C19EC" w:rsidTr="00623DC1">
        <w:trPr>
          <w:trHeight w:val="176"/>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64 705 837,0</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64 832 769,3</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126 932,3</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100,2%</w:t>
            </w:r>
          </w:p>
        </w:tc>
      </w:tr>
      <w:tr w:rsidR="007C19EC" w:rsidRPr="007C19EC" w:rsidTr="00623DC1">
        <w:trPr>
          <w:trHeight w:val="84"/>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8 356 337,4</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12,9%</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8 665 671,3</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13,4%</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309 333,8</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103,7%</w:t>
            </w:r>
          </w:p>
        </w:tc>
      </w:tr>
      <w:tr w:rsidR="007C19EC" w:rsidRPr="007C19EC" w:rsidTr="00623DC1">
        <w:trPr>
          <w:trHeight w:val="71"/>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195 046,7</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23 842,0</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0,0%</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-171 204,7</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12,2%</w:t>
            </w:r>
          </w:p>
        </w:tc>
      </w:tr>
      <w:tr w:rsidR="007C19EC" w:rsidRPr="007C19EC" w:rsidTr="00623DC1">
        <w:trPr>
          <w:trHeight w:val="71"/>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56 154 452,8</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86,8%</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56 143 256,0</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86,6%</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-11 196,8</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100,0%</w:t>
            </w:r>
          </w:p>
        </w:tc>
      </w:tr>
      <w:tr w:rsidR="007C19EC" w:rsidRPr="007C19EC" w:rsidTr="00623DC1">
        <w:trPr>
          <w:trHeight w:val="255"/>
        </w:trPr>
        <w:tc>
          <w:tcPr>
            <w:tcW w:w="10349"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lastRenderedPageBreak/>
              <w:t>2009г.</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65 537 725,7</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65 447 464,8</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-90 260,9</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99,9%</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6 209 412,1</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9,5%</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6 121 123,8</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9,4%</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-88 288,2</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98,6%</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174 697,6</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174 336,3</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-361,3</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99,8%</w:t>
            </w:r>
          </w:p>
        </w:tc>
      </w:tr>
      <w:tr w:rsidR="007C19EC" w:rsidRPr="007C19EC" w:rsidTr="00623DC1">
        <w:trPr>
          <w:trHeight w:val="5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59 153 616,1</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90,3%</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59 152 004,7</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90,4%</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-1 611,4</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100,0%</w:t>
            </w:r>
          </w:p>
        </w:tc>
      </w:tr>
      <w:tr w:rsidR="007C19EC" w:rsidRPr="007C19EC" w:rsidTr="00623DC1">
        <w:trPr>
          <w:trHeight w:val="255"/>
        </w:trPr>
        <w:tc>
          <w:tcPr>
            <w:tcW w:w="10349"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2008г.</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76 759 610,9</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64 744 181,8</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-12 015 429,2</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84,3%</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5 905 512,2</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7,7%</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5 612 914,1</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8,7%</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-292 598,1</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95,0%</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403 571,0</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0,5%</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478 555,2</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0,7%</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74 984,3</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118,6%</w:t>
            </w:r>
          </w:p>
        </w:tc>
      </w:tr>
      <w:tr w:rsidR="007C19EC" w:rsidRPr="007C19EC" w:rsidTr="00623DC1">
        <w:trPr>
          <w:trHeight w:val="5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70 450 527,7</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91,8%</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58 652 712,4</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90,6%</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-11 797 815,3</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83,3%</w:t>
            </w:r>
          </w:p>
        </w:tc>
      </w:tr>
      <w:tr w:rsidR="007C19EC" w:rsidRPr="007C19EC" w:rsidTr="00623DC1">
        <w:trPr>
          <w:trHeight w:val="255"/>
        </w:trPr>
        <w:tc>
          <w:tcPr>
            <w:tcW w:w="10349"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2007г</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57 299 582,2</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63 580 969,7</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6 281 387,5</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111,0%</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4 321 160,0</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7,5%</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4 514 721,2</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7,1%</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193 561,2</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104,5%</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176 062,2</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186 016,5</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9 954,3</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105,7%</w:t>
            </w:r>
          </w:p>
        </w:tc>
      </w:tr>
      <w:tr w:rsidR="007C19EC" w:rsidRPr="007C19EC" w:rsidTr="00623DC1">
        <w:trPr>
          <w:trHeight w:val="5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52 802 360,0</w:t>
            </w:r>
          </w:p>
        </w:tc>
        <w:tc>
          <w:tcPr>
            <w:tcW w:w="1417"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92,2%</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58 880 232,0</w:t>
            </w:r>
          </w:p>
        </w:tc>
        <w:tc>
          <w:tcPr>
            <w:tcW w:w="1413"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92,6%</w:t>
            </w:r>
          </w:p>
        </w:tc>
        <w:tc>
          <w:tcPr>
            <w:tcW w:w="132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6 077 872,0</w:t>
            </w:r>
          </w:p>
        </w:tc>
        <w:tc>
          <w:tcPr>
            <w:tcW w:w="1089"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111,5%</w:t>
            </w:r>
          </w:p>
        </w:tc>
      </w:tr>
      <w:tr w:rsidR="007C19EC" w:rsidRPr="007C19EC" w:rsidTr="00623DC1">
        <w:trPr>
          <w:trHeight w:val="255"/>
        </w:trPr>
        <w:tc>
          <w:tcPr>
            <w:tcW w:w="10349"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2006г</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31 564 504,8</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 </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31 625 051,9</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 </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60 547,1</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100,2%</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3 291 421,9</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10,4%</w:t>
            </w:r>
          </w:p>
        </w:tc>
        <w:tc>
          <w:tcPr>
            <w:tcW w:w="128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3 436 209,2</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10,9%</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144 787,3</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104,4%</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174 998,0</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0,6%</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99 829,8</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-75 168,2</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57,0%</w:t>
            </w:r>
          </w:p>
        </w:tc>
      </w:tr>
      <w:tr w:rsidR="007C19EC" w:rsidRPr="007C19EC" w:rsidTr="00623DC1">
        <w:trPr>
          <w:trHeight w:val="54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28 098 084,9</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89,0%</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28 089 012,9</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88,8%</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-9 072,0</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100,0%</w:t>
            </w:r>
          </w:p>
        </w:tc>
      </w:tr>
      <w:tr w:rsidR="007C19EC" w:rsidRPr="007C19EC" w:rsidTr="00623DC1">
        <w:trPr>
          <w:trHeight w:val="255"/>
        </w:trPr>
        <w:tc>
          <w:tcPr>
            <w:tcW w:w="1034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2005г</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18 386 495,4</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16 753 272,4</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-1 633 223,0</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91,1%</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2 471 405,8</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13,4%</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2 167 593,1</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12,9%</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-303 812,7</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87,7%</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46 016,5</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34 790,4</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0,2%</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-11 226,1</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75,6%</w:t>
            </w:r>
          </w:p>
        </w:tc>
      </w:tr>
      <w:tr w:rsidR="007C19EC" w:rsidRPr="007C19EC" w:rsidTr="00623DC1">
        <w:trPr>
          <w:trHeight w:val="5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15 869 073,1</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86,3%</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14 550 888,9</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86,9%</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-1 318 184,3</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91,7%</w:t>
            </w:r>
          </w:p>
        </w:tc>
      </w:tr>
      <w:tr w:rsidR="007C19EC" w:rsidRPr="007C19EC" w:rsidTr="00623DC1">
        <w:trPr>
          <w:trHeight w:val="255"/>
        </w:trPr>
        <w:tc>
          <w:tcPr>
            <w:tcW w:w="1034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2004г</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25 047 332,0</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25 038 037,0</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-9 295,0</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100,0%</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1 712 045,0</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6,8%</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1 707 175,0</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6,8%</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-4 870,0</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99,7%</w:t>
            </w:r>
          </w:p>
        </w:tc>
      </w:tr>
      <w:tr w:rsidR="007C19EC" w:rsidRPr="007C19EC" w:rsidTr="00623DC1">
        <w:trPr>
          <w:trHeight w:val="25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68 838,0</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73 800,0</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4 962,0</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107,2%</w:t>
            </w:r>
          </w:p>
        </w:tc>
      </w:tr>
      <w:tr w:rsidR="007C19EC" w:rsidRPr="007C19EC" w:rsidTr="00623DC1">
        <w:trPr>
          <w:trHeight w:val="510"/>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56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23 266 449,0</w:t>
            </w:r>
          </w:p>
        </w:tc>
        <w:tc>
          <w:tcPr>
            <w:tcW w:w="1417"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92,9%</w:t>
            </w:r>
          </w:p>
        </w:tc>
        <w:tc>
          <w:tcPr>
            <w:tcW w:w="128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23 257 062,0</w:t>
            </w:r>
          </w:p>
        </w:tc>
        <w:tc>
          <w:tcPr>
            <w:tcW w:w="1413"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92,9%</w:t>
            </w:r>
          </w:p>
        </w:tc>
        <w:tc>
          <w:tcPr>
            <w:tcW w:w="132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-9 387,0</w:t>
            </w:r>
          </w:p>
        </w:tc>
        <w:tc>
          <w:tcPr>
            <w:tcW w:w="1089"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100,0%</w:t>
            </w:r>
          </w:p>
        </w:tc>
      </w:tr>
    </w:tbl>
    <w:p w:rsidR="00AE69E3" w:rsidRDefault="00AE69E3" w:rsidP="000D6B0B">
      <w:pPr>
        <w:spacing w:after="0" w:line="360" w:lineRule="auto"/>
        <w:ind w:firstLine="709"/>
        <w:jc w:val="both"/>
        <w:rPr>
          <w:rFonts w:ascii="Times New Roman" w:hAnsi="Times New Roman" w:cs="Times New Roman"/>
          <w:sz w:val="28"/>
          <w:szCs w:val="28"/>
        </w:rPr>
      </w:pPr>
    </w:p>
    <w:p w:rsidR="007C19EC" w:rsidRDefault="007C19EC" w:rsidP="007C19EC">
      <w:pPr>
        <w:spacing w:after="0" w:line="360" w:lineRule="auto"/>
        <w:jc w:val="both"/>
        <w:rPr>
          <w:rFonts w:ascii="Times New Roman" w:hAnsi="Times New Roman" w:cs="Times New Roman"/>
          <w:sz w:val="28"/>
          <w:szCs w:val="28"/>
        </w:rPr>
      </w:pPr>
      <w:r>
        <w:rPr>
          <w:noProof/>
          <w:lang w:eastAsia="ru-RU"/>
        </w:rPr>
        <w:lastRenderedPageBreak/>
        <w:drawing>
          <wp:inline distT="0" distB="0" distL="0" distR="0" wp14:anchorId="5E70D69B" wp14:editId="29E5F032">
            <wp:extent cx="6133763" cy="3681876"/>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C19EC" w:rsidRDefault="007C19EC" w:rsidP="007C19EC">
      <w:pPr>
        <w:spacing w:after="0" w:line="360" w:lineRule="auto"/>
        <w:jc w:val="both"/>
        <w:rPr>
          <w:rFonts w:ascii="Times New Roman" w:hAnsi="Times New Roman" w:cs="Times New Roman"/>
          <w:sz w:val="28"/>
          <w:szCs w:val="28"/>
        </w:rPr>
      </w:pPr>
    </w:p>
    <w:p w:rsidR="006C66BD" w:rsidRDefault="006C66BD" w:rsidP="007C19EC">
      <w:pPr>
        <w:spacing w:after="0" w:line="360" w:lineRule="auto"/>
        <w:jc w:val="both"/>
        <w:rPr>
          <w:rFonts w:ascii="Times New Roman" w:hAnsi="Times New Roman" w:cs="Times New Roman"/>
          <w:sz w:val="28"/>
          <w:szCs w:val="28"/>
        </w:rPr>
      </w:pPr>
      <w:r>
        <w:rPr>
          <w:noProof/>
          <w:lang w:eastAsia="ru-RU"/>
        </w:rPr>
        <w:drawing>
          <wp:inline distT="0" distB="0" distL="0" distR="0" wp14:anchorId="753C799D" wp14:editId="2C1278DE">
            <wp:extent cx="5940425" cy="4659638"/>
            <wp:effectExtent l="0" t="0" r="3175" b="762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7C19EC" w:rsidRDefault="007C19EC" w:rsidP="007C19EC">
      <w:pPr>
        <w:spacing w:after="0" w:line="360" w:lineRule="auto"/>
        <w:jc w:val="both"/>
        <w:rPr>
          <w:rFonts w:ascii="Times New Roman" w:hAnsi="Times New Roman" w:cs="Times New Roman"/>
          <w:sz w:val="28"/>
          <w:szCs w:val="28"/>
        </w:rPr>
      </w:pPr>
    </w:p>
    <w:tbl>
      <w:tblPr>
        <w:tblW w:w="10349" w:type="dxa"/>
        <w:tblInd w:w="-459" w:type="dxa"/>
        <w:tblLook w:val="04A0" w:firstRow="1" w:lastRow="0" w:firstColumn="1" w:lastColumn="0" w:noHBand="0" w:noVBand="1"/>
      </w:tblPr>
      <w:tblGrid>
        <w:gridCol w:w="2694"/>
        <w:gridCol w:w="1701"/>
        <w:gridCol w:w="1418"/>
        <w:gridCol w:w="1418"/>
        <w:gridCol w:w="1540"/>
        <w:gridCol w:w="1578"/>
      </w:tblGrid>
      <w:tr w:rsidR="007C19EC" w:rsidRPr="007C19EC" w:rsidTr="007C19EC">
        <w:trPr>
          <w:trHeight w:val="255"/>
        </w:trPr>
        <w:tc>
          <w:tcPr>
            <w:tcW w:w="10349" w:type="dxa"/>
            <w:gridSpan w:val="6"/>
            <w:tcBorders>
              <w:top w:val="nil"/>
              <w:left w:val="nil"/>
              <w:bottom w:val="nil"/>
              <w:right w:val="nil"/>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lastRenderedPageBreak/>
              <w:t>Доходы бюджетов бюджетной системы ЧР за 2012 год</w:t>
            </w:r>
          </w:p>
        </w:tc>
      </w:tr>
      <w:tr w:rsidR="007C19EC" w:rsidRPr="007C19EC" w:rsidTr="007C19EC">
        <w:trPr>
          <w:trHeight w:val="210"/>
        </w:trPr>
        <w:tc>
          <w:tcPr>
            <w:tcW w:w="2694"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p>
        </w:tc>
        <w:tc>
          <w:tcPr>
            <w:tcW w:w="1701"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p>
        </w:tc>
        <w:tc>
          <w:tcPr>
            <w:tcW w:w="1418"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p>
        </w:tc>
        <w:tc>
          <w:tcPr>
            <w:tcW w:w="1418"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p>
        </w:tc>
        <w:tc>
          <w:tcPr>
            <w:tcW w:w="1540"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ед. изм.</w:t>
            </w:r>
          </w:p>
        </w:tc>
        <w:tc>
          <w:tcPr>
            <w:tcW w:w="1578" w:type="dxa"/>
            <w:tcBorders>
              <w:top w:val="nil"/>
              <w:left w:val="nil"/>
              <w:bottom w:val="nil"/>
              <w:right w:val="nil"/>
            </w:tcBorders>
            <w:shd w:val="clear" w:color="auto" w:fill="auto"/>
            <w:noWrap/>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тыс. руб.</w:t>
            </w:r>
          </w:p>
        </w:tc>
      </w:tr>
      <w:tr w:rsidR="007C19EC" w:rsidRPr="007C19EC" w:rsidTr="007C19EC">
        <w:trPr>
          <w:trHeight w:val="510"/>
        </w:trPr>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Вид дохода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План</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Уд</w:t>
            </w:r>
            <w:proofErr w:type="gramStart"/>
            <w:r w:rsidRPr="007C19EC">
              <w:rPr>
                <w:rFonts w:ascii="Times New Roman" w:eastAsia="Times New Roman" w:hAnsi="Times New Roman" w:cs="Times New Roman"/>
                <w:b/>
                <w:bCs/>
                <w:sz w:val="20"/>
                <w:szCs w:val="20"/>
                <w:lang w:eastAsia="ru-RU"/>
              </w:rPr>
              <w:t>.</w:t>
            </w:r>
            <w:proofErr w:type="gramEnd"/>
            <w:r w:rsidRPr="007C19EC">
              <w:rPr>
                <w:rFonts w:ascii="Times New Roman" w:eastAsia="Times New Roman" w:hAnsi="Times New Roman" w:cs="Times New Roman"/>
                <w:b/>
                <w:bCs/>
                <w:sz w:val="20"/>
                <w:szCs w:val="20"/>
                <w:lang w:eastAsia="ru-RU"/>
              </w:rPr>
              <w:t xml:space="preserve"> </w:t>
            </w:r>
            <w:proofErr w:type="gramStart"/>
            <w:r w:rsidRPr="007C19EC">
              <w:rPr>
                <w:rFonts w:ascii="Times New Roman" w:eastAsia="Times New Roman" w:hAnsi="Times New Roman" w:cs="Times New Roman"/>
                <w:b/>
                <w:bCs/>
                <w:sz w:val="20"/>
                <w:szCs w:val="20"/>
                <w:lang w:eastAsia="ru-RU"/>
              </w:rPr>
              <w:t>в</w:t>
            </w:r>
            <w:proofErr w:type="gramEnd"/>
            <w:r w:rsidRPr="007C19EC">
              <w:rPr>
                <w:rFonts w:ascii="Times New Roman" w:eastAsia="Times New Roman" w:hAnsi="Times New Roman" w:cs="Times New Roman"/>
                <w:b/>
                <w:bCs/>
                <w:sz w:val="20"/>
                <w:szCs w:val="20"/>
                <w:lang w:eastAsia="ru-RU"/>
              </w:rPr>
              <w:t>ес в общ. доходах</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Факт</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Уд</w:t>
            </w:r>
            <w:proofErr w:type="gramStart"/>
            <w:r w:rsidRPr="007C19EC">
              <w:rPr>
                <w:rFonts w:ascii="Times New Roman" w:eastAsia="Times New Roman" w:hAnsi="Times New Roman" w:cs="Times New Roman"/>
                <w:b/>
                <w:bCs/>
                <w:sz w:val="20"/>
                <w:szCs w:val="20"/>
                <w:lang w:eastAsia="ru-RU"/>
              </w:rPr>
              <w:t>.</w:t>
            </w:r>
            <w:proofErr w:type="gramEnd"/>
            <w:r w:rsidRPr="007C19EC">
              <w:rPr>
                <w:rFonts w:ascii="Times New Roman" w:eastAsia="Times New Roman" w:hAnsi="Times New Roman" w:cs="Times New Roman"/>
                <w:b/>
                <w:bCs/>
                <w:sz w:val="20"/>
                <w:szCs w:val="20"/>
                <w:lang w:eastAsia="ru-RU"/>
              </w:rPr>
              <w:t xml:space="preserve"> </w:t>
            </w:r>
            <w:proofErr w:type="gramStart"/>
            <w:r w:rsidRPr="007C19EC">
              <w:rPr>
                <w:rFonts w:ascii="Times New Roman" w:eastAsia="Times New Roman" w:hAnsi="Times New Roman" w:cs="Times New Roman"/>
                <w:b/>
                <w:bCs/>
                <w:sz w:val="20"/>
                <w:szCs w:val="20"/>
                <w:lang w:eastAsia="ru-RU"/>
              </w:rPr>
              <w:t>в</w:t>
            </w:r>
            <w:proofErr w:type="gramEnd"/>
            <w:r w:rsidRPr="007C19EC">
              <w:rPr>
                <w:rFonts w:ascii="Times New Roman" w:eastAsia="Times New Roman" w:hAnsi="Times New Roman" w:cs="Times New Roman"/>
                <w:b/>
                <w:bCs/>
                <w:sz w:val="20"/>
                <w:szCs w:val="20"/>
                <w:lang w:eastAsia="ru-RU"/>
              </w:rPr>
              <w:t>ес в общ. доходах</w:t>
            </w:r>
          </w:p>
        </w:tc>
        <w:tc>
          <w:tcPr>
            <w:tcW w:w="1578" w:type="dxa"/>
            <w:tcBorders>
              <w:top w:val="single" w:sz="4" w:space="0" w:color="auto"/>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Процент исполнения</w:t>
            </w:r>
          </w:p>
        </w:tc>
      </w:tr>
      <w:tr w:rsidR="007C19EC" w:rsidRPr="007C19EC" w:rsidTr="007C19EC">
        <w:trPr>
          <w:trHeight w:val="255"/>
        </w:trPr>
        <w:tc>
          <w:tcPr>
            <w:tcW w:w="10349"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Доходы консолидированного бюджета</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79 068 111,7</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78 303 356,2</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99,0%</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11 897 658,3</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15,0%</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11 261 277,8</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14,4%</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94,7%</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000000" w:fill="FFFFFF"/>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70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351 344,8</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0,4%</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389 328,5</w:t>
            </w:r>
          </w:p>
        </w:tc>
        <w:tc>
          <w:tcPr>
            <w:tcW w:w="154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0,5%</w:t>
            </w:r>
          </w:p>
        </w:tc>
        <w:tc>
          <w:tcPr>
            <w:tcW w:w="1578" w:type="dxa"/>
            <w:tcBorders>
              <w:top w:val="nil"/>
              <w:left w:val="nil"/>
              <w:bottom w:val="single" w:sz="4" w:space="0" w:color="auto"/>
              <w:right w:val="single" w:sz="4" w:space="0" w:color="auto"/>
            </w:tcBorders>
            <w:shd w:val="clear" w:color="000000" w:fill="FFFFFF"/>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110,8%</w:t>
            </w:r>
          </w:p>
        </w:tc>
      </w:tr>
      <w:tr w:rsidR="007C19EC" w:rsidRPr="007C19EC" w:rsidTr="005F335F">
        <w:trPr>
          <w:trHeight w:val="329"/>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70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66 819 108,5</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84,5%</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66 652 750,0</w:t>
            </w:r>
          </w:p>
        </w:tc>
        <w:tc>
          <w:tcPr>
            <w:tcW w:w="154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85,1%</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99,8%</w:t>
            </w:r>
          </w:p>
        </w:tc>
      </w:tr>
      <w:tr w:rsidR="007C19EC" w:rsidRPr="007C19EC" w:rsidTr="005F335F">
        <w:trPr>
          <w:trHeight w:val="224"/>
        </w:trPr>
        <w:tc>
          <w:tcPr>
            <w:tcW w:w="10349"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Доходы республиканского бюджета</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75 144 765,0</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74 267 714,3</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98,8%</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8 129 143,3</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10,8%</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7 396 304,8</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10,0%</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91,0%</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000000" w:fill="FFFFFF"/>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70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196 513,2</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215 964,6</w:t>
            </w:r>
          </w:p>
        </w:tc>
        <w:tc>
          <w:tcPr>
            <w:tcW w:w="154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0,3%</w:t>
            </w:r>
          </w:p>
        </w:tc>
        <w:tc>
          <w:tcPr>
            <w:tcW w:w="1578" w:type="dxa"/>
            <w:tcBorders>
              <w:top w:val="nil"/>
              <w:left w:val="nil"/>
              <w:bottom w:val="single" w:sz="4" w:space="0" w:color="auto"/>
              <w:right w:val="single" w:sz="4" w:space="0" w:color="auto"/>
            </w:tcBorders>
            <w:shd w:val="clear" w:color="000000" w:fill="FFFFFF"/>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109,9%</w:t>
            </w:r>
          </w:p>
        </w:tc>
      </w:tr>
      <w:tr w:rsidR="007C19EC" w:rsidRPr="007C19EC" w:rsidTr="005F335F">
        <w:trPr>
          <w:trHeight w:val="324"/>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70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66 819 108,5</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88,9%</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66 655 444,9</w:t>
            </w:r>
          </w:p>
        </w:tc>
        <w:tc>
          <w:tcPr>
            <w:tcW w:w="154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89,8%</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99,8%</w:t>
            </w:r>
          </w:p>
        </w:tc>
      </w:tr>
      <w:tr w:rsidR="007C19EC" w:rsidRPr="007C19EC" w:rsidTr="005F335F">
        <w:trPr>
          <w:trHeight w:val="76"/>
        </w:trPr>
        <w:tc>
          <w:tcPr>
            <w:tcW w:w="10349"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Доходы районных бюджетов</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15 610 743,5</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15 511 813,3</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99,4%</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1 548 727,8</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1 585 946,9</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10,2%</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102,4%</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000000" w:fill="FFFFFF"/>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70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56 540,0</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0,4%</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66 022,4</w:t>
            </w:r>
          </w:p>
        </w:tc>
        <w:tc>
          <w:tcPr>
            <w:tcW w:w="154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0,4%</w:t>
            </w:r>
          </w:p>
        </w:tc>
        <w:tc>
          <w:tcPr>
            <w:tcW w:w="1578" w:type="dxa"/>
            <w:tcBorders>
              <w:top w:val="nil"/>
              <w:left w:val="nil"/>
              <w:bottom w:val="single" w:sz="4" w:space="0" w:color="auto"/>
              <w:right w:val="single" w:sz="4" w:space="0" w:color="auto"/>
            </w:tcBorders>
            <w:shd w:val="clear" w:color="000000" w:fill="FFFFFF"/>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116,8%</w:t>
            </w:r>
          </w:p>
        </w:tc>
      </w:tr>
      <w:tr w:rsidR="007C19EC" w:rsidRPr="007C19EC" w:rsidTr="005F335F">
        <w:trPr>
          <w:trHeight w:val="176"/>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70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14 005 475,7</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89,7%</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13 859 844,0</w:t>
            </w:r>
          </w:p>
        </w:tc>
        <w:tc>
          <w:tcPr>
            <w:tcW w:w="154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89,4%</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99,0%</w:t>
            </w:r>
          </w:p>
        </w:tc>
      </w:tr>
      <w:tr w:rsidR="007C19EC" w:rsidRPr="007C19EC" w:rsidTr="005F335F">
        <w:trPr>
          <w:trHeight w:val="61"/>
        </w:trPr>
        <w:tc>
          <w:tcPr>
            <w:tcW w:w="10349"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Доходы бюджетов городских округов</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6 796 698,9</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6 806 416,8</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100,1%</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1 912 950,2</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28,1%</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1 982 600,3</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29,1%</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103,6%</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000000" w:fill="FFFFFF"/>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70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92 825,3</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98 311,3</w:t>
            </w:r>
          </w:p>
        </w:tc>
        <w:tc>
          <w:tcPr>
            <w:tcW w:w="154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1,4%</w:t>
            </w:r>
          </w:p>
        </w:tc>
        <w:tc>
          <w:tcPr>
            <w:tcW w:w="1578" w:type="dxa"/>
            <w:tcBorders>
              <w:top w:val="nil"/>
              <w:left w:val="nil"/>
              <w:bottom w:val="single" w:sz="4" w:space="0" w:color="auto"/>
              <w:right w:val="single" w:sz="4" w:space="0" w:color="auto"/>
            </w:tcBorders>
            <w:shd w:val="clear" w:color="000000" w:fill="FFFFFF"/>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105,9%</w:t>
            </w:r>
          </w:p>
        </w:tc>
      </w:tr>
      <w:tr w:rsidR="007C19EC" w:rsidRPr="007C19EC" w:rsidTr="005F335F">
        <w:trPr>
          <w:trHeight w:val="114"/>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70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4 790 923,3</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70,5%</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4 725 505,2</w:t>
            </w:r>
          </w:p>
        </w:tc>
        <w:tc>
          <w:tcPr>
            <w:tcW w:w="154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69,4%</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98,6%</w:t>
            </w:r>
          </w:p>
        </w:tc>
      </w:tr>
      <w:tr w:rsidR="007C19EC" w:rsidRPr="007C19EC" w:rsidTr="005F335F">
        <w:trPr>
          <w:trHeight w:val="163"/>
        </w:trPr>
        <w:tc>
          <w:tcPr>
            <w:tcW w:w="10349" w:type="dxa"/>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Доходы бюджетов поселений</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Всего доходов</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1 038 763,6</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1 030 715,0</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 </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b/>
                <w:bCs/>
                <w:sz w:val="20"/>
                <w:szCs w:val="20"/>
                <w:lang w:eastAsia="ru-RU"/>
              </w:rPr>
            </w:pPr>
            <w:r w:rsidRPr="007C19EC">
              <w:rPr>
                <w:rFonts w:ascii="Times New Roman" w:eastAsia="Times New Roman" w:hAnsi="Times New Roman" w:cs="Times New Roman"/>
                <w:b/>
                <w:bCs/>
                <w:sz w:val="20"/>
                <w:szCs w:val="20"/>
                <w:lang w:eastAsia="ru-RU"/>
              </w:rPr>
              <w:t>99,2%</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Налоговые доходы</w:t>
            </w:r>
          </w:p>
        </w:tc>
        <w:tc>
          <w:tcPr>
            <w:tcW w:w="1701"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306 837,0</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29,5%</w:t>
            </w:r>
          </w:p>
        </w:tc>
        <w:tc>
          <w:tcPr>
            <w:tcW w:w="141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296 425,7</w:t>
            </w:r>
          </w:p>
        </w:tc>
        <w:tc>
          <w:tcPr>
            <w:tcW w:w="1540"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28,8%</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96,6%</w:t>
            </w:r>
          </w:p>
        </w:tc>
      </w:tr>
      <w:tr w:rsidR="007C19EC" w:rsidRPr="007C19EC" w:rsidTr="007C19EC">
        <w:trPr>
          <w:trHeight w:val="255"/>
        </w:trPr>
        <w:tc>
          <w:tcPr>
            <w:tcW w:w="2694" w:type="dxa"/>
            <w:tcBorders>
              <w:top w:val="nil"/>
              <w:left w:val="single" w:sz="4" w:space="0" w:color="auto"/>
              <w:bottom w:val="single" w:sz="4" w:space="0" w:color="auto"/>
              <w:right w:val="single" w:sz="4" w:space="0" w:color="auto"/>
            </w:tcBorders>
            <w:shd w:val="clear" w:color="000000" w:fill="FFFFFF"/>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Неналоговые доходы</w:t>
            </w:r>
          </w:p>
        </w:tc>
        <w:tc>
          <w:tcPr>
            <w:tcW w:w="1701"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5 466,3</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0,5%</w:t>
            </w:r>
          </w:p>
        </w:tc>
        <w:tc>
          <w:tcPr>
            <w:tcW w:w="1418"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9 030,3</w:t>
            </w:r>
          </w:p>
        </w:tc>
        <w:tc>
          <w:tcPr>
            <w:tcW w:w="1540" w:type="dxa"/>
            <w:tcBorders>
              <w:top w:val="nil"/>
              <w:left w:val="nil"/>
              <w:bottom w:val="single" w:sz="4" w:space="0" w:color="auto"/>
              <w:right w:val="single" w:sz="4" w:space="0" w:color="auto"/>
            </w:tcBorders>
            <w:shd w:val="clear" w:color="000000" w:fill="FFFFFF"/>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0,9%</w:t>
            </w:r>
          </w:p>
        </w:tc>
        <w:tc>
          <w:tcPr>
            <w:tcW w:w="1578" w:type="dxa"/>
            <w:tcBorders>
              <w:top w:val="nil"/>
              <w:left w:val="nil"/>
              <w:bottom w:val="single" w:sz="4" w:space="0" w:color="auto"/>
              <w:right w:val="single" w:sz="4" w:space="0" w:color="auto"/>
            </w:tcBorders>
            <w:shd w:val="clear" w:color="000000" w:fill="FFFFFF"/>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165,2%</w:t>
            </w:r>
          </w:p>
        </w:tc>
      </w:tr>
      <w:tr w:rsidR="007C19EC" w:rsidRPr="007C19EC" w:rsidTr="005F335F">
        <w:trPr>
          <w:trHeight w:val="121"/>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7C19EC" w:rsidRPr="007C19EC" w:rsidRDefault="007C19EC" w:rsidP="007C19EC">
            <w:pPr>
              <w:spacing w:after="0" w:line="240" w:lineRule="auto"/>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Безвозмездные и безвозвратные поступления</w:t>
            </w:r>
          </w:p>
        </w:tc>
        <w:tc>
          <w:tcPr>
            <w:tcW w:w="1701"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726 460,3</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69,9%</w:t>
            </w:r>
          </w:p>
        </w:tc>
        <w:tc>
          <w:tcPr>
            <w:tcW w:w="1418"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725 259,0</w:t>
            </w:r>
          </w:p>
        </w:tc>
        <w:tc>
          <w:tcPr>
            <w:tcW w:w="1540" w:type="dxa"/>
            <w:tcBorders>
              <w:top w:val="nil"/>
              <w:left w:val="nil"/>
              <w:bottom w:val="single" w:sz="4" w:space="0" w:color="auto"/>
              <w:right w:val="single" w:sz="4" w:space="0" w:color="auto"/>
            </w:tcBorders>
            <w:shd w:val="clear" w:color="auto" w:fill="auto"/>
            <w:noWrap/>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70,4%</w:t>
            </w:r>
          </w:p>
        </w:tc>
        <w:tc>
          <w:tcPr>
            <w:tcW w:w="1578" w:type="dxa"/>
            <w:tcBorders>
              <w:top w:val="nil"/>
              <w:left w:val="nil"/>
              <w:bottom w:val="single" w:sz="4" w:space="0" w:color="auto"/>
              <w:right w:val="single" w:sz="4" w:space="0" w:color="auto"/>
            </w:tcBorders>
            <w:shd w:val="clear" w:color="auto" w:fill="auto"/>
            <w:vAlign w:val="center"/>
            <w:hideMark/>
          </w:tcPr>
          <w:p w:rsidR="007C19EC" w:rsidRPr="007C19EC" w:rsidRDefault="007C19EC" w:rsidP="007C19EC">
            <w:pPr>
              <w:spacing w:after="0" w:line="240" w:lineRule="auto"/>
              <w:jc w:val="center"/>
              <w:rPr>
                <w:rFonts w:ascii="Times New Roman" w:eastAsia="Times New Roman" w:hAnsi="Times New Roman" w:cs="Times New Roman"/>
                <w:sz w:val="20"/>
                <w:szCs w:val="20"/>
                <w:lang w:eastAsia="ru-RU"/>
              </w:rPr>
            </w:pPr>
            <w:r w:rsidRPr="007C19EC">
              <w:rPr>
                <w:rFonts w:ascii="Times New Roman" w:eastAsia="Times New Roman" w:hAnsi="Times New Roman" w:cs="Times New Roman"/>
                <w:sz w:val="20"/>
                <w:szCs w:val="20"/>
                <w:lang w:eastAsia="ru-RU"/>
              </w:rPr>
              <w:t>99,8%</w:t>
            </w:r>
          </w:p>
        </w:tc>
      </w:tr>
    </w:tbl>
    <w:p w:rsidR="005F335F" w:rsidRPr="005F335F" w:rsidRDefault="005F335F" w:rsidP="007C19EC">
      <w:pPr>
        <w:spacing w:after="0" w:line="360" w:lineRule="auto"/>
        <w:jc w:val="both"/>
        <w:rPr>
          <w:rFonts w:ascii="Times New Roman" w:hAnsi="Times New Roman" w:cs="Times New Roman"/>
          <w:sz w:val="28"/>
          <w:szCs w:val="28"/>
        </w:rPr>
      </w:pPr>
    </w:p>
    <w:p w:rsidR="005F335F" w:rsidRDefault="007C19EC" w:rsidP="007C19EC">
      <w:pPr>
        <w:spacing w:after="0" w:line="360" w:lineRule="auto"/>
        <w:jc w:val="both"/>
        <w:rPr>
          <w:rFonts w:ascii="Times New Roman" w:hAnsi="Times New Roman" w:cs="Times New Roman"/>
          <w:sz w:val="28"/>
          <w:szCs w:val="28"/>
        </w:rPr>
      </w:pPr>
      <w:r w:rsidRPr="005F335F">
        <w:rPr>
          <w:i/>
          <w:noProof/>
          <w:lang w:eastAsia="ru-RU"/>
        </w:rPr>
        <w:drawing>
          <wp:inline distT="0" distB="0" distL="0" distR="0" wp14:anchorId="5BB3A7A6" wp14:editId="163384B1">
            <wp:extent cx="6214683" cy="3107342"/>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F335F" w:rsidRDefault="005F335F">
      <w:pPr>
        <w:rPr>
          <w:rFonts w:ascii="Times New Roman" w:hAnsi="Times New Roman" w:cs="Times New Roman"/>
          <w:sz w:val="28"/>
          <w:szCs w:val="28"/>
        </w:rPr>
      </w:pPr>
      <w:r>
        <w:rPr>
          <w:rFonts w:ascii="Times New Roman" w:hAnsi="Times New Roman" w:cs="Times New Roman"/>
          <w:sz w:val="28"/>
          <w:szCs w:val="28"/>
        </w:rPr>
        <w:br w:type="page"/>
      </w:r>
    </w:p>
    <w:p w:rsidR="005F335F" w:rsidRDefault="005F335F" w:rsidP="007C19EC">
      <w:pPr>
        <w:spacing w:after="0" w:line="360" w:lineRule="auto"/>
        <w:jc w:val="both"/>
        <w:rPr>
          <w:rFonts w:ascii="Times New Roman" w:hAnsi="Times New Roman" w:cs="Times New Roman"/>
          <w:b/>
          <w:sz w:val="24"/>
          <w:szCs w:val="24"/>
        </w:rPr>
      </w:pPr>
      <w:r w:rsidRPr="005F335F">
        <w:rPr>
          <w:rFonts w:ascii="Times New Roman" w:hAnsi="Times New Roman" w:cs="Times New Roman"/>
          <w:b/>
          <w:sz w:val="24"/>
          <w:szCs w:val="24"/>
        </w:rPr>
        <w:lastRenderedPageBreak/>
        <w:t>Исполнения расходной части бюджетов бюджетной системы Чеченской Республики</w:t>
      </w:r>
    </w:p>
    <w:p w:rsidR="005F335F" w:rsidRDefault="005F335F" w:rsidP="007C19EC">
      <w:pPr>
        <w:spacing w:after="0" w:line="360" w:lineRule="auto"/>
        <w:jc w:val="both"/>
        <w:rPr>
          <w:rFonts w:ascii="Times New Roman" w:hAnsi="Times New Roman" w:cs="Times New Roman"/>
          <w:b/>
          <w:sz w:val="24"/>
          <w:szCs w:val="24"/>
        </w:rPr>
      </w:pPr>
    </w:p>
    <w:tbl>
      <w:tblPr>
        <w:tblW w:w="10362" w:type="dxa"/>
        <w:tblInd w:w="-459" w:type="dxa"/>
        <w:tblLook w:val="04A0" w:firstRow="1" w:lastRow="0" w:firstColumn="1" w:lastColumn="0" w:noHBand="0" w:noVBand="1"/>
      </w:tblPr>
      <w:tblGrid>
        <w:gridCol w:w="3686"/>
        <w:gridCol w:w="821"/>
        <w:gridCol w:w="880"/>
        <w:gridCol w:w="1418"/>
        <w:gridCol w:w="1417"/>
        <w:gridCol w:w="1276"/>
        <w:gridCol w:w="864"/>
      </w:tblGrid>
      <w:tr w:rsidR="005F335F" w:rsidRPr="005F335F" w:rsidTr="00A05F1A">
        <w:trPr>
          <w:trHeight w:val="255"/>
        </w:trPr>
        <w:tc>
          <w:tcPr>
            <w:tcW w:w="10362" w:type="dxa"/>
            <w:gridSpan w:val="7"/>
            <w:tcBorders>
              <w:top w:val="nil"/>
              <w:left w:val="nil"/>
              <w:bottom w:val="nil"/>
              <w:right w:val="nil"/>
            </w:tcBorders>
            <w:shd w:val="clear" w:color="auto" w:fill="auto"/>
            <w:noWrap/>
            <w:vAlign w:val="bottom"/>
            <w:hideMark/>
          </w:tcPr>
          <w:p w:rsidR="005F335F" w:rsidRPr="00F704B5" w:rsidRDefault="005F335F" w:rsidP="005F335F">
            <w:pPr>
              <w:spacing w:after="0" w:line="240" w:lineRule="auto"/>
              <w:jc w:val="center"/>
              <w:rPr>
                <w:rFonts w:ascii="Times New Roman" w:eastAsia="Times New Roman" w:hAnsi="Times New Roman" w:cs="Times New Roman"/>
                <w:b/>
                <w:bCs/>
                <w:sz w:val="24"/>
                <w:szCs w:val="24"/>
                <w:lang w:eastAsia="ru-RU"/>
              </w:rPr>
            </w:pPr>
            <w:r w:rsidRPr="00F704B5">
              <w:rPr>
                <w:rFonts w:ascii="Times New Roman" w:eastAsia="Times New Roman" w:hAnsi="Times New Roman" w:cs="Times New Roman"/>
                <w:b/>
                <w:bCs/>
                <w:sz w:val="24"/>
                <w:szCs w:val="24"/>
                <w:lang w:eastAsia="ru-RU"/>
              </w:rPr>
              <w:t>Расходы консолидированного бюджета за 2012 год по ФКР</w:t>
            </w:r>
          </w:p>
        </w:tc>
      </w:tr>
      <w:tr w:rsidR="005F335F" w:rsidRPr="005F335F" w:rsidTr="00A05F1A">
        <w:trPr>
          <w:trHeight w:val="255"/>
        </w:trPr>
        <w:tc>
          <w:tcPr>
            <w:tcW w:w="3686" w:type="dxa"/>
            <w:tcBorders>
              <w:top w:val="nil"/>
              <w:left w:val="nil"/>
              <w:bottom w:val="single" w:sz="4" w:space="0" w:color="auto"/>
              <w:right w:val="nil"/>
            </w:tcBorders>
            <w:shd w:val="clear" w:color="auto" w:fill="auto"/>
            <w:noWrap/>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p>
        </w:tc>
        <w:tc>
          <w:tcPr>
            <w:tcW w:w="880" w:type="dxa"/>
            <w:tcBorders>
              <w:top w:val="nil"/>
              <w:left w:val="nil"/>
              <w:bottom w:val="single" w:sz="4" w:space="0" w:color="auto"/>
              <w:right w:val="nil"/>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p>
        </w:tc>
        <w:tc>
          <w:tcPr>
            <w:tcW w:w="1418" w:type="dxa"/>
            <w:tcBorders>
              <w:top w:val="nil"/>
              <w:left w:val="nil"/>
              <w:bottom w:val="single" w:sz="4" w:space="0" w:color="auto"/>
              <w:right w:val="nil"/>
            </w:tcBorders>
            <w:shd w:val="clear" w:color="auto" w:fill="auto"/>
            <w:noWrap/>
            <w:vAlign w:val="bottom"/>
            <w:hideMark/>
          </w:tcPr>
          <w:p w:rsidR="005F335F" w:rsidRPr="005F335F" w:rsidRDefault="005F335F" w:rsidP="005F335F">
            <w:pPr>
              <w:spacing w:after="0" w:line="240" w:lineRule="auto"/>
              <w:jc w:val="right"/>
              <w:rPr>
                <w:rFonts w:ascii="Times New Roman" w:eastAsia="Times New Roman" w:hAnsi="Times New Roman" w:cs="Times New Roman"/>
                <w:sz w:val="20"/>
                <w:szCs w:val="20"/>
                <w:lang w:eastAsia="ru-RU"/>
              </w:rPr>
            </w:pPr>
          </w:p>
        </w:tc>
        <w:tc>
          <w:tcPr>
            <w:tcW w:w="1417" w:type="dxa"/>
            <w:tcBorders>
              <w:top w:val="nil"/>
              <w:left w:val="nil"/>
              <w:bottom w:val="single" w:sz="4" w:space="0" w:color="auto"/>
              <w:right w:val="nil"/>
            </w:tcBorders>
            <w:shd w:val="clear" w:color="auto" w:fill="auto"/>
            <w:noWrap/>
            <w:vAlign w:val="bottom"/>
            <w:hideMark/>
          </w:tcPr>
          <w:p w:rsidR="005F335F" w:rsidRPr="005F335F" w:rsidRDefault="005F335F" w:rsidP="005F335F">
            <w:pPr>
              <w:spacing w:after="0" w:line="240" w:lineRule="auto"/>
              <w:jc w:val="right"/>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5F335F" w:rsidRPr="005F335F" w:rsidRDefault="005F335F" w:rsidP="00A05F1A">
            <w:pPr>
              <w:spacing w:after="0" w:line="240" w:lineRule="auto"/>
              <w:jc w:val="right"/>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 xml:space="preserve">тыс. </w:t>
            </w:r>
          </w:p>
        </w:tc>
        <w:tc>
          <w:tcPr>
            <w:tcW w:w="864" w:type="dxa"/>
            <w:tcBorders>
              <w:top w:val="nil"/>
              <w:left w:val="nil"/>
              <w:bottom w:val="single" w:sz="4" w:space="0" w:color="auto"/>
              <w:right w:val="nil"/>
            </w:tcBorders>
            <w:shd w:val="clear" w:color="auto" w:fill="auto"/>
            <w:noWrap/>
            <w:vAlign w:val="bottom"/>
            <w:hideMark/>
          </w:tcPr>
          <w:p w:rsidR="005F335F" w:rsidRPr="005F335F" w:rsidRDefault="00A05F1A"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b/>
                <w:bCs/>
                <w:sz w:val="20"/>
                <w:szCs w:val="20"/>
                <w:lang w:eastAsia="ru-RU"/>
              </w:rPr>
              <w:t>рублей</w:t>
            </w:r>
          </w:p>
        </w:tc>
      </w:tr>
      <w:tr w:rsidR="005F335F" w:rsidRPr="005F335F" w:rsidTr="00A05F1A">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 xml:space="preserve">Раздел </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proofErr w:type="spellStart"/>
            <w:r w:rsidRPr="005F335F">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План</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F335F" w:rsidRPr="005F335F" w:rsidRDefault="005F335F" w:rsidP="00A05F1A">
            <w:pPr>
              <w:spacing w:after="0" w:line="240" w:lineRule="auto"/>
              <w:jc w:val="center"/>
              <w:rPr>
                <w:rFonts w:ascii="Times New Roman" w:eastAsia="Times New Roman" w:hAnsi="Times New Roman" w:cs="Times New Roman"/>
                <w:b/>
                <w:bCs/>
                <w:sz w:val="20"/>
                <w:szCs w:val="20"/>
                <w:lang w:eastAsia="ru-RU"/>
              </w:rPr>
            </w:pPr>
            <w:proofErr w:type="spellStart"/>
            <w:r w:rsidRPr="005F335F">
              <w:rPr>
                <w:rFonts w:ascii="Times New Roman" w:eastAsia="Times New Roman" w:hAnsi="Times New Roman" w:cs="Times New Roman"/>
                <w:b/>
                <w:bCs/>
                <w:sz w:val="20"/>
                <w:szCs w:val="20"/>
                <w:lang w:eastAsia="ru-RU"/>
              </w:rPr>
              <w:t>Откл</w:t>
            </w:r>
            <w:proofErr w:type="spellEnd"/>
            <w:r w:rsidR="00A05F1A">
              <w:rPr>
                <w:rFonts w:ascii="Times New Roman" w:eastAsia="Times New Roman" w:hAnsi="Times New Roman" w:cs="Times New Roman"/>
                <w:b/>
                <w:bCs/>
                <w:sz w:val="20"/>
                <w:szCs w:val="20"/>
                <w:lang w:eastAsia="ru-RU"/>
              </w:rPr>
              <w:t>.</w:t>
            </w:r>
          </w:p>
        </w:tc>
        <w:tc>
          <w:tcPr>
            <w:tcW w:w="864" w:type="dxa"/>
            <w:tcBorders>
              <w:top w:val="single" w:sz="4" w:space="0" w:color="auto"/>
              <w:left w:val="nil"/>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80 623 682,4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77 531 881,5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3 091 800,9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96,2%</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8 227 083,9</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7 996 030,4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231 053,5</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97,2%</w:t>
            </w:r>
          </w:p>
        </w:tc>
      </w:tr>
      <w:tr w:rsidR="005F335F" w:rsidRPr="005F335F" w:rsidTr="00A05F1A">
        <w:trPr>
          <w:trHeight w:val="87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w:t>
            </w:r>
            <w:r>
              <w:rPr>
                <w:rFonts w:ascii="Times New Roman" w:eastAsia="Times New Roman" w:hAnsi="Times New Roman" w:cs="Times New Roman"/>
                <w:sz w:val="20"/>
                <w:szCs w:val="20"/>
                <w:lang w:eastAsia="ru-RU"/>
              </w:rPr>
              <w:t>а</w:t>
            </w:r>
            <w:r w:rsidRPr="005F335F">
              <w:rPr>
                <w:rFonts w:ascii="Times New Roman" w:eastAsia="Times New Roman" w:hAnsi="Times New Roman" w:cs="Times New Roman"/>
                <w:sz w:val="20"/>
                <w:szCs w:val="20"/>
                <w:lang w:eastAsia="ru-RU"/>
              </w:rPr>
              <w:t>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978 466,9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976 853,8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1 613,0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99,8%</w:t>
            </w:r>
          </w:p>
        </w:tc>
      </w:tr>
      <w:tr w:rsidR="005F335F" w:rsidRPr="005F335F" w:rsidTr="00A05F1A">
        <w:trPr>
          <w:trHeight w:val="11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540 234,4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511 151,3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29 083,2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94,6%</w:t>
            </w:r>
          </w:p>
        </w:tc>
      </w:tr>
      <w:tr w:rsidR="005F335F" w:rsidRPr="005F335F" w:rsidTr="00560837">
        <w:trPr>
          <w:trHeight w:val="90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1 467 897,1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1 417 592,4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50 304,7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96,6%</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299 725,9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287 513,4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12 212,5</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95,9%</w:t>
            </w:r>
          </w:p>
        </w:tc>
      </w:tr>
      <w:tr w:rsidR="005F335F" w:rsidRPr="005F335F" w:rsidTr="00560837">
        <w:trPr>
          <w:trHeight w:val="61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747 374,7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715 835,0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31 539,8</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95,8%</w:t>
            </w:r>
          </w:p>
        </w:tc>
      </w:tr>
      <w:tr w:rsidR="005F335F" w:rsidRPr="005F335F" w:rsidTr="00560837">
        <w:trPr>
          <w:trHeight w:val="24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Обеспечение проведения выборов и референдумов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82 256,0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81 756,0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500,0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99,4%</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Фундаментальные исследования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75 486,4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73 066,5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2 419,9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96,8%</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48 711,7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3 502,5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45 209,2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7,2%</w:t>
            </w:r>
          </w:p>
        </w:tc>
      </w:tr>
      <w:tr w:rsidR="005F335F" w:rsidRPr="005F335F" w:rsidTr="00A05F1A">
        <w:trPr>
          <w:trHeight w:val="5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Прикладные научные исследования в области общегосударственных вопросов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18 502,6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16 252,2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2 250,4</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87,8%</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3 968 428,3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3 912 507,4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55 920,9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98,6%</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color w:val="000000"/>
                <w:sz w:val="20"/>
                <w:szCs w:val="20"/>
                <w:lang w:eastAsia="ru-RU"/>
              </w:rPr>
            </w:pPr>
            <w:r w:rsidRPr="005F335F">
              <w:rPr>
                <w:rFonts w:ascii="Times New Roman" w:eastAsia="Times New Roman" w:hAnsi="Times New Roman" w:cs="Times New Roman"/>
                <w:b/>
                <w:bCs/>
                <w:color w:val="000000"/>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29 474,9</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29 454,7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20,2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99,9%</w:t>
            </w:r>
          </w:p>
        </w:tc>
      </w:tr>
      <w:tr w:rsidR="005F335F" w:rsidRPr="005F335F" w:rsidTr="00A05F1A">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29 474,9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29 454,7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20,2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99,9%</w:t>
            </w:r>
          </w:p>
        </w:tc>
      </w:tr>
      <w:tr w:rsidR="005F335F" w:rsidRPr="005F335F" w:rsidTr="00A05F1A">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color w:val="000000"/>
                <w:sz w:val="20"/>
                <w:szCs w:val="20"/>
                <w:lang w:eastAsia="ru-RU"/>
              </w:rPr>
            </w:pPr>
            <w:r w:rsidRPr="005F335F">
              <w:rPr>
                <w:rFonts w:ascii="Times New Roman" w:eastAsia="Times New Roman" w:hAnsi="Times New Roman" w:cs="Times New Roman"/>
                <w:b/>
                <w:bCs/>
                <w:color w:val="000000"/>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365 629,7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327 771,2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37 858,5</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89,6%</w:t>
            </w:r>
          </w:p>
        </w:tc>
      </w:tr>
      <w:tr w:rsidR="005F335F" w:rsidRPr="005F335F" w:rsidTr="00A05F1A">
        <w:trPr>
          <w:trHeight w:val="10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color w:val="000000"/>
                <w:sz w:val="20"/>
                <w:szCs w:val="20"/>
                <w:lang w:eastAsia="ru-RU"/>
              </w:rPr>
            </w:pPr>
            <w:r w:rsidRPr="005F335F">
              <w:rPr>
                <w:rFonts w:ascii="Times New Roman" w:eastAsia="Times New Roman" w:hAnsi="Times New Roman" w:cs="Times New Roman"/>
                <w:color w:val="000000"/>
                <w:sz w:val="20"/>
                <w:szCs w:val="20"/>
                <w:lang w:eastAsia="ru-RU"/>
              </w:rPr>
              <w:t>Органы юстиции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93 775,0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88 375,0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5 400,0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94,2%</w:t>
            </w:r>
          </w:p>
        </w:tc>
      </w:tr>
      <w:tr w:rsidR="005F335F" w:rsidRPr="005F335F" w:rsidTr="00560837">
        <w:trPr>
          <w:trHeight w:val="57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189 147,7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165 344,4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23 803,3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87,4%</w:t>
            </w:r>
          </w:p>
        </w:tc>
      </w:tr>
      <w:tr w:rsidR="005F335F" w:rsidRPr="005F335F" w:rsidTr="00560837">
        <w:trPr>
          <w:trHeight w:val="2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Обеспечение противопожарной безопасности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82 637,0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73 981,8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8 655,2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89,5%</w:t>
            </w:r>
          </w:p>
        </w:tc>
      </w:tr>
      <w:tr w:rsidR="005F335F" w:rsidRPr="005F335F" w:rsidTr="00560837">
        <w:trPr>
          <w:trHeight w:val="444"/>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национальной безопасности и правоохранительной деятельности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100,0%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12 389 863,4</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11 213 100,2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1 176 763,3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90,5%</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Общеэкономические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568 303,9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559 137,3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9 166,6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98,4%</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Топливно-энергетический комплекс</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42 913,8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42 169,9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743,9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98,3%</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2 721 286,2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2 687 421,2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33 865,1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98,8%</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Водное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54 418,3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54 418,3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100,0%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Лесное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236 331,8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234 306,7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2 025,1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99,1%</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Транспорт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724 382,8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709 235,2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15 147,6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97,9%</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lastRenderedPageBreak/>
              <w:t>Дорожное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4 069 667,2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3 796 477,6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273 189,5</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93,3%</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Связь и информатика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202 558,4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149 146,8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53 411,6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73,6%</w:t>
            </w:r>
          </w:p>
        </w:tc>
      </w:tr>
      <w:tr w:rsidR="005F335F" w:rsidRPr="005F335F" w:rsidTr="00560837">
        <w:trPr>
          <w:trHeight w:val="20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Прикладные научные исследования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21 034,1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20 328,6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705,5</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96,6%</w:t>
            </w:r>
          </w:p>
        </w:tc>
      </w:tr>
      <w:tr w:rsidR="005F335F" w:rsidRPr="005F335F" w:rsidTr="00560837">
        <w:trPr>
          <w:trHeight w:val="25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3 748 966,9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2 960 458,6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788 508,3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79,0%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color w:val="000000"/>
                <w:sz w:val="20"/>
                <w:szCs w:val="20"/>
                <w:lang w:eastAsia="ru-RU"/>
              </w:rPr>
            </w:pPr>
            <w:r w:rsidRPr="005F335F">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8 368 641,4</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8 234 092,8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134 548,6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98,4%</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2 462 517,5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2 398 953,1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63 564,4</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97,4%</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4 225 256,9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4 218 652,3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6 604,6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99,8%</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1 562 740,9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1 499 521,5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63 219,4</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96,0%</w:t>
            </w:r>
          </w:p>
        </w:tc>
      </w:tr>
      <w:tr w:rsidR="005F335F" w:rsidRPr="005F335F" w:rsidTr="00A05F1A">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118 126,1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116 966,0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1 160,2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Охрана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81 949,9</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81 649,9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300,0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99,6%</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Экологический контроль</w:t>
            </w:r>
          </w:p>
        </w:tc>
        <w:tc>
          <w:tcPr>
            <w:tcW w:w="821" w:type="dxa"/>
            <w:tcBorders>
              <w:top w:val="single" w:sz="4" w:space="0" w:color="auto"/>
              <w:left w:val="nil"/>
              <w:bottom w:val="single" w:sz="4" w:space="0" w:color="auto"/>
              <w:right w:val="single" w:sz="4" w:space="0" w:color="auto"/>
            </w:tcBorders>
            <w:shd w:val="clear" w:color="000000" w:fill="FFFFFF"/>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000000" w:fill="FFFFFF"/>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25 450,0</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25 450,0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100,0%</w:t>
            </w:r>
          </w:p>
        </w:tc>
      </w:tr>
      <w:tr w:rsidR="005F335F" w:rsidRPr="005F335F" w:rsidTr="00560837">
        <w:trPr>
          <w:trHeight w:val="31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Охрана объектов растительного и животного мира и среды их обитания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8 726,4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8 676,4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99,4%</w:t>
            </w:r>
          </w:p>
        </w:tc>
      </w:tr>
      <w:tr w:rsidR="005F335F" w:rsidRPr="005F335F" w:rsidTr="00560837">
        <w:trPr>
          <w:trHeight w:val="26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Прикладные научные исследования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18 810,0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18 810,0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100,0%</w:t>
            </w:r>
          </w:p>
        </w:tc>
      </w:tr>
      <w:tr w:rsidR="005F335F" w:rsidRPr="005F335F" w:rsidTr="00560837">
        <w:trPr>
          <w:trHeight w:val="9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28 963,5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28 713,5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250,0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99,1%</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20 249 453,9</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19 748 016,9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501 437,1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97,5%</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2 991 079,5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2 968 823,9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22 255,6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99,3%</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13 994 701,8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13 800 530,0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194 171,7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98,6%</w:t>
            </w:r>
          </w:p>
        </w:tc>
      </w:tr>
      <w:tr w:rsidR="005F335F" w:rsidRPr="005F335F" w:rsidTr="00560837">
        <w:trPr>
          <w:trHeight w:val="9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Начальное профессиональное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397 557,6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357 814,5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39 743,0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90,0%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Среднее профессиональное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843 719,7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800 229,3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43 490,4</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94,8%</w:t>
            </w:r>
          </w:p>
        </w:tc>
      </w:tr>
      <w:tr w:rsidR="005F335F" w:rsidRPr="005F335F" w:rsidTr="00560837">
        <w:trPr>
          <w:trHeight w:val="48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Профессиональная подготовка, переподготовка и повышение квалификации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46 430,5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46 087,2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343,3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99,3%</w:t>
            </w:r>
          </w:p>
        </w:tc>
      </w:tr>
      <w:tr w:rsidR="005F335F" w:rsidRPr="005F335F" w:rsidTr="00560837">
        <w:trPr>
          <w:trHeight w:val="7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Молодежная политика и оздоровление детей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741 620,4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728 415,7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13 204,7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98,2%</w:t>
            </w:r>
          </w:p>
        </w:tc>
      </w:tr>
      <w:tr w:rsidR="005F335F" w:rsidRPr="005F335F" w:rsidTr="00560837">
        <w:trPr>
          <w:trHeight w:val="19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Прикладные научные исследования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10 080,8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9 282,2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798,6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92,1%</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1 224 263,8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1 036 834,0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187 429,7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84,7%</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3 003 491,6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2 871 434,7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132 056,9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95,6%</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2 628 004,1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2 529 854,8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98 149,2</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96,3%</w:t>
            </w:r>
          </w:p>
        </w:tc>
      </w:tr>
      <w:tr w:rsidR="005F335F" w:rsidRPr="005F335F" w:rsidTr="00560837">
        <w:trPr>
          <w:trHeight w:val="3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культуры, кинематографии и средств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375 487,6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341 579,9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33 907,7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91,0%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12 374 556,4</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12 147 921,4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226 635,1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98,2%</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5 490 564,9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5 353 568,5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136 996,4</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97,5%</w:t>
            </w:r>
          </w:p>
        </w:tc>
      </w:tr>
      <w:tr w:rsidR="005F335F" w:rsidRPr="005F335F" w:rsidTr="00560837">
        <w:trPr>
          <w:trHeight w:val="161"/>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613 879,1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582 400,8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31 478,3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94,9%</w:t>
            </w:r>
          </w:p>
        </w:tc>
      </w:tr>
      <w:tr w:rsidR="005F335F" w:rsidRPr="005F335F" w:rsidTr="00560837">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Скорая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139 541,0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137 171,2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2 369,9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98,3%</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Санаторно-оздоровительная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689 603,8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689 598,6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100,0%</w:t>
            </w:r>
          </w:p>
        </w:tc>
      </w:tr>
      <w:tr w:rsidR="005F335F" w:rsidRPr="005F335F" w:rsidTr="00560837">
        <w:trPr>
          <w:trHeight w:val="41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Заготовка, переработка, хранение и обеспечение безопасности донорской крови и ее компонентов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72 181,5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61 085,2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11 096,3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84,6%</w:t>
            </w:r>
          </w:p>
        </w:tc>
      </w:tr>
      <w:tr w:rsidR="005F335F" w:rsidRPr="005F335F" w:rsidTr="00560837">
        <w:trPr>
          <w:trHeight w:val="19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5 368 786,0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5 324 097,1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44 688,9</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99,2%</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12 709 703,8</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12 193 626,2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516 077,7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95,9%</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Пенсионное обеспечение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290 436,5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247 648,6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42 788,0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85,3%</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1 606 056,5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1 460 133,8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145 922,7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90,9%</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10 202 648,0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9 908 142,2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294 505,7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97,1%</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334 642,3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315 441,6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19 200,7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94,3%</w:t>
            </w:r>
          </w:p>
        </w:tc>
      </w:tr>
      <w:tr w:rsidR="005F335F" w:rsidRPr="005F335F" w:rsidTr="00560837">
        <w:trPr>
          <w:trHeight w:val="14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275 920,6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262 260,0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13 660,6</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95,0%</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1 806 382,8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1 723 018,8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83 364,1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95,4%</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599 690,2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573 369,2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26 321,0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95,6%</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lastRenderedPageBreak/>
              <w:t>Массовый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189 310,3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136 810,3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52 500,0</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72,3%</w:t>
            </w:r>
          </w:p>
        </w:tc>
      </w:tr>
      <w:tr w:rsidR="005F335F" w:rsidRPr="005F335F" w:rsidTr="00A05F1A">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Спорт высших достижений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882 871,6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882 848,5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23,1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100,0%</w:t>
            </w:r>
          </w:p>
        </w:tc>
      </w:tr>
      <w:tr w:rsidR="005F335F" w:rsidRPr="005F335F" w:rsidTr="00560837">
        <w:trPr>
          <w:trHeight w:val="41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Прикладные научные исследования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634,1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634,1</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0,0%</w:t>
            </w:r>
          </w:p>
        </w:tc>
      </w:tr>
      <w:tr w:rsidR="005F335F" w:rsidRPr="005F335F" w:rsidTr="00560837">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133 876,6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129 990,8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3 885,8</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97,1%</w:t>
            </w:r>
          </w:p>
        </w:tc>
      </w:tr>
      <w:tr w:rsidR="005F335F" w:rsidRPr="005F335F" w:rsidTr="00560837">
        <w:trPr>
          <w:trHeight w:val="9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839 657,3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812 365,5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27 291,8</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96,7%</w:t>
            </w:r>
          </w:p>
        </w:tc>
      </w:tr>
      <w:tr w:rsidR="005F335F" w:rsidRPr="005F335F" w:rsidTr="00560837">
        <w:trPr>
          <w:trHeight w:val="144"/>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Телевидение и радиовещание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261 624,3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251 865,6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9 758,7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96,3%</w:t>
            </w:r>
          </w:p>
        </w:tc>
      </w:tr>
      <w:tr w:rsidR="005F335F" w:rsidRPr="005F335F" w:rsidTr="00560837">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248 113,7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247 673,0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440,7</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99,8%</w:t>
            </w:r>
          </w:p>
        </w:tc>
      </w:tr>
      <w:tr w:rsidR="005F335F" w:rsidRPr="005F335F" w:rsidTr="00560837">
        <w:trPr>
          <w:trHeight w:val="14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Другие вопросы в области средств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329 919,3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312 826,9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17 092,4</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94,8%</w:t>
            </w:r>
          </w:p>
        </w:tc>
      </w:tr>
      <w:tr w:rsidR="005F335F" w:rsidRPr="005F335F" w:rsidTr="00560837">
        <w:trPr>
          <w:trHeight w:val="17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177 793,2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153 398,9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24 394,3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b/>
                <w:bCs/>
                <w:sz w:val="20"/>
                <w:szCs w:val="20"/>
                <w:lang w:eastAsia="ru-RU"/>
              </w:rPr>
            </w:pPr>
            <w:r w:rsidRPr="005F335F">
              <w:rPr>
                <w:rFonts w:ascii="Times New Roman" w:eastAsia="Times New Roman" w:hAnsi="Times New Roman" w:cs="Times New Roman"/>
                <w:b/>
                <w:bCs/>
                <w:sz w:val="20"/>
                <w:szCs w:val="20"/>
                <w:lang w:eastAsia="ru-RU"/>
              </w:rPr>
              <w:t>86,3%</w:t>
            </w:r>
          </w:p>
        </w:tc>
      </w:tr>
      <w:tr w:rsidR="005F335F" w:rsidRPr="005F335F" w:rsidTr="00560837">
        <w:trPr>
          <w:trHeight w:val="9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335F" w:rsidRPr="005F335F" w:rsidRDefault="005F335F" w:rsidP="005F335F">
            <w:pPr>
              <w:spacing w:after="0" w:line="240" w:lineRule="auto"/>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177 793,2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153 398,9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24 394,3</w:t>
            </w:r>
          </w:p>
        </w:tc>
        <w:tc>
          <w:tcPr>
            <w:tcW w:w="864" w:type="dxa"/>
            <w:tcBorders>
              <w:top w:val="single" w:sz="4" w:space="0" w:color="auto"/>
              <w:left w:val="nil"/>
              <w:bottom w:val="single" w:sz="4" w:space="0" w:color="auto"/>
              <w:right w:val="single" w:sz="4" w:space="0" w:color="auto"/>
            </w:tcBorders>
            <w:shd w:val="clear" w:color="auto" w:fill="auto"/>
            <w:noWrap/>
            <w:vAlign w:val="center"/>
            <w:hideMark/>
          </w:tcPr>
          <w:p w:rsidR="005F335F" w:rsidRPr="005F335F" w:rsidRDefault="005F335F" w:rsidP="005F335F">
            <w:pPr>
              <w:spacing w:after="0" w:line="240" w:lineRule="auto"/>
              <w:jc w:val="center"/>
              <w:rPr>
                <w:rFonts w:ascii="Times New Roman" w:eastAsia="Times New Roman" w:hAnsi="Times New Roman" w:cs="Times New Roman"/>
                <w:sz w:val="20"/>
                <w:szCs w:val="20"/>
                <w:lang w:eastAsia="ru-RU"/>
              </w:rPr>
            </w:pPr>
            <w:r w:rsidRPr="005F335F">
              <w:rPr>
                <w:rFonts w:ascii="Times New Roman" w:eastAsia="Times New Roman" w:hAnsi="Times New Roman" w:cs="Times New Roman"/>
                <w:sz w:val="20"/>
                <w:szCs w:val="20"/>
                <w:lang w:eastAsia="ru-RU"/>
              </w:rPr>
              <w:t>86,3%</w:t>
            </w:r>
          </w:p>
        </w:tc>
      </w:tr>
    </w:tbl>
    <w:p w:rsidR="005F335F" w:rsidRDefault="005F335F" w:rsidP="007C19EC">
      <w:pPr>
        <w:spacing w:after="0" w:line="360" w:lineRule="auto"/>
        <w:jc w:val="both"/>
        <w:rPr>
          <w:rFonts w:ascii="Times New Roman" w:hAnsi="Times New Roman" w:cs="Times New Roman"/>
          <w:b/>
          <w:sz w:val="24"/>
          <w:szCs w:val="24"/>
        </w:rPr>
      </w:pPr>
    </w:p>
    <w:p w:rsidR="00A05F1A" w:rsidRDefault="00A05F1A"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517637AB" wp14:editId="3F426BE5">
            <wp:extent cx="6489813" cy="3600956"/>
            <wp:effectExtent l="0" t="0" r="63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05F1A" w:rsidRDefault="00A05F1A" w:rsidP="00A05F1A">
      <w:pPr>
        <w:spacing w:after="0" w:line="360" w:lineRule="auto"/>
        <w:ind w:left="-567"/>
        <w:jc w:val="both"/>
        <w:rPr>
          <w:rFonts w:ascii="Times New Roman" w:hAnsi="Times New Roman" w:cs="Times New Roman"/>
          <w:b/>
          <w:sz w:val="24"/>
          <w:szCs w:val="24"/>
        </w:rPr>
      </w:pPr>
    </w:p>
    <w:p w:rsidR="00A05F1A" w:rsidRDefault="00A05F1A"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686"/>
        <w:gridCol w:w="821"/>
        <w:gridCol w:w="880"/>
        <w:gridCol w:w="1417"/>
        <w:gridCol w:w="1418"/>
        <w:gridCol w:w="1276"/>
        <w:gridCol w:w="866"/>
      </w:tblGrid>
      <w:tr w:rsidR="00560837" w:rsidRPr="00560837" w:rsidTr="00560837">
        <w:trPr>
          <w:trHeight w:val="255"/>
        </w:trPr>
        <w:tc>
          <w:tcPr>
            <w:tcW w:w="10348" w:type="dxa"/>
            <w:gridSpan w:val="7"/>
            <w:tcBorders>
              <w:top w:val="nil"/>
              <w:left w:val="nil"/>
              <w:bottom w:val="nil"/>
              <w:right w:val="nil"/>
            </w:tcBorders>
            <w:shd w:val="clear" w:color="auto" w:fill="auto"/>
            <w:noWrap/>
            <w:vAlign w:val="bottom"/>
            <w:hideMark/>
          </w:tcPr>
          <w:p w:rsidR="00560837" w:rsidRPr="00F704B5" w:rsidRDefault="00560837" w:rsidP="00560837">
            <w:pPr>
              <w:spacing w:after="0" w:line="240" w:lineRule="auto"/>
              <w:jc w:val="center"/>
              <w:rPr>
                <w:rFonts w:ascii="Times New Roman" w:eastAsia="Times New Roman" w:hAnsi="Times New Roman" w:cs="Times New Roman"/>
                <w:b/>
                <w:bCs/>
                <w:sz w:val="24"/>
                <w:szCs w:val="24"/>
                <w:lang w:eastAsia="ru-RU"/>
              </w:rPr>
            </w:pPr>
            <w:r w:rsidRPr="00F704B5">
              <w:rPr>
                <w:rFonts w:ascii="Times New Roman" w:eastAsia="Times New Roman" w:hAnsi="Times New Roman" w:cs="Times New Roman"/>
                <w:b/>
                <w:bCs/>
                <w:sz w:val="24"/>
                <w:szCs w:val="24"/>
                <w:lang w:eastAsia="ru-RU"/>
              </w:rPr>
              <w:t>Расходы республиканского бюджета за 2012 год по ФКР</w:t>
            </w:r>
          </w:p>
        </w:tc>
      </w:tr>
      <w:tr w:rsidR="00560837" w:rsidRPr="00560837" w:rsidTr="00560837">
        <w:trPr>
          <w:trHeight w:val="255"/>
        </w:trPr>
        <w:tc>
          <w:tcPr>
            <w:tcW w:w="3686" w:type="dxa"/>
            <w:tcBorders>
              <w:top w:val="nil"/>
              <w:left w:val="nil"/>
              <w:bottom w:val="single" w:sz="4" w:space="0" w:color="auto"/>
              <w:right w:val="nil"/>
            </w:tcBorders>
            <w:shd w:val="clear" w:color="auto" w:fill="auto"/>
            <w:noWrap/>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880"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1417"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1418"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jc w:val="right"/>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jc w:val="right"/>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 xml:space="preserve">тыс. </w:t>
            </w:r>
          </w:p>
        </w:tc>
        <w:tc>
          <w:tcPr>
            <w:tcW w:w="850"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b/>
                <w:bCs/>
                <w:sz w:val="20"/>
                <w:szCs w:val="20"/>
                <w:lang w:eastAsia="ru-RU"/>
              </w:rPr>
              <w:t>рублей</w:t>
            </w:r>
          </w:p>
        </w:tc>
      </w:tr>
      <w:tr w:rsidR="00560837" w:rsidRPr="00560837" w:rsidTr="00560837">
        <w:trPr>
          <w:trHeight w:val="54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 xml:space="preserve">Раздел </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proofErr w:type="spellStart"/>
            <w:r w:rsidRPr="00560837">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План</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proofErr w:type="spellStart"/>
            <w:r w:rsidRPr="00560837">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560837" w:rsidRPr="00560837" w:rsidTr="00560837">
        <w:trPr>
          <w:trHeight w:val="108"/>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76 272 974,5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73 547 401,7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2 725 572,8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96,4%</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6 195 401,7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6 032 907,6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162 494,0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97,4%</w:t>
            </w:r>
          </w:p>
        </w:tc>
      </w:tr>
      <w:tr w:rsidR="00560837" w:rsidRPr="00560837" w:rsidTr="00560837">
        <w:trPr>
          <w:trHeight w:val="82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905 045,0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904 299,9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745,1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99,9%</w:t>
            </w:r>
          </w:p>
        </w:tc>
      </w:tr>
      <w:tr w:rsidR="00560837" w:rsidRPr="00560837" w:rsidTr="00560837">
        <w:trPr>
          <w:trHeight w:val="272"/>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429 978,0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401 016,6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28 961,4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93,3%</w:t>
            </w:r>
          </w:p>
        </w:tc>
      </w:tr>
      <w:tr w:rsidR="00560837" w:rsidRPr="00560837" w:rsidTr="00560837">
        <w:trPr>
          <w:trHeight w:val="11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lastRenderedPageBreak/>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177 533,3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173 885,8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3 647,4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97,9%</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299 725,9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287 504,6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12 221,3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95,9%</w:t>
            </w:r>
          </w:p>
        </w:tc>
      </w:tr>
      <w:tr w:rsidR="00560837" w:rsidRPr="00560837" w:rsidTr="00560837">
        <w:trPr>
          <w:trHeight w:val="102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380 507,9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351 943,1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28 564,8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92,5%</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Обеспечение проведения выборов и референдумов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81 764,1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81 264,1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99,4%</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Фундаментальные исследования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75 486,4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73 066,5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2 419,9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96,8%</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41 892,8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1 498,0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40 394,8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3,6%</w:t>
            </w:r>
          </w:p>
        </w:tc>
      </w:tr>
      <w:tr w:rsidR="00560837" w:rsidRPr="00560837" w:rsidTr="00560837">
        <w:trPr>
          <w:trHeight w:val="5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Прикладные научные исследования в области общегосударственных вопросов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18 502,6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16 252,2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2 250,4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87,8%</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3 784 965,7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3 742 176,8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42 788,9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98,9%</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29 474,9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29 474,9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100,0%</w:t>
            </w:r>
          </w:p>
        </w:tc>
      </w:tr>
      <w:tr w:rsidR="00560837" w:rsidRPr="00560837" w:rsidTr="00560837">
        <w:trPr>
          <w:trHeight w:val="42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29 474,9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29 474,9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color w:val="000000"/>
                <w:sz w:val="20"/>
                <w:szCs w:val="20"/>
                <w:lang w:eastAsia="ru-RU"/>
              </w:rPr>
            </w:pPr>
            <w:r w:rsidRPr="00560837">
              <w:rPr>
                <w:rFonts w:ascii="Times New Roman" w:eastAsia="Times New Roman" w:hAnsi="Times New Roman" w:cs="Times New Roman"/>
                <w:b/>
                <w:bCs/>
                <w:color w:val="000000"/>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246 285,3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230 456,8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15 828,5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93,6%</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color w:val="000000"/>
                <w:sz w:val="20"/>
                <w:szCs w:val="20"/>
                <w:lang w:eastAsia="ru-RU"/>
              </w:rPr>
            </w:pPr>
            <w:r w:rsidRPr="00560837">
              <w:rPr>
                <w:rFonts w:ascii="Times New Roman" w:eastAsia="Times New Roman" w:hAnsi="Times New Roman" w:cs="Times New Roman"/>
                <w:color w:val="000000"/>
                <w:sz w:val="20"/>
                <w:szCs w:val="20"/>
                <w:lang w:eastAsia="ru-RU"/>
              </w:rPr>
              <w:t>Органы юстиции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93 775,0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88 375,0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5 400,0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94,2%</w:t>
            </w:r>
          </w:p>
        </w:tc>
      </w:tr>
      <w:tr w:rsidR="00560837" w:rsidRPr="00560837" w:rsidTr="00560837">
        <w:trPr>
          <w:trHeight w:val="90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69 873,3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68 100,0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1 773,3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97,5%</w:t>
            </w:r>
          </w:p>
        </w:tc>
      </w:tr>
      <w:tr w:rsidR="00560837" w:rsidRPr="00560837" w:rsidTr="00560837">
        <w:trPr>
          <w:trHeight w:val="3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Обеспечение противопожарной безопасности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82 637,0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73 981,8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8 655,2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89,5%</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12 188 324,2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11 014 071,9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1 174 252,4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90,4%</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Общеэкономические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568 303,9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559 137,3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9 166,6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98,4%</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Топливо и энергетика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42 913,8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42 169,9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743,9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98,3%</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2 715 683,2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2 682 961,7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32 721,5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98,8%</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Водное хозяйство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54 418,3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54 418,3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Лесное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236 331,8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234 306,7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2 025,1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99,1%</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Транспорт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724 382,8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709 235,2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15 147,6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97,9%</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Дорожное хозяйство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4 026 058,8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3 752 873,5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273 185,3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93,2%</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Связь и информатика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202 558,4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149 146,8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53 411,6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73,6%</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Прикладные научные исследования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21 034,1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20 328,6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705,5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96,6%</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3 596 639,1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2 809 493,8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787 145,3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78,1%</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color w:val="000000"/>
                <w:sz w:val="20"/>
                <w:szCs w:val="20"/>
                <w:lang w:eastAsia="ru-RU"/>
              </w:rPr>
            </w:pPr>
            <w:r w:rsidRPr="00560837">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5 597 255,8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5 536 355,3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60 900,5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98,9%</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1 539 399,2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1 486 141,7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53 257,5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96,5%</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3 703 821,0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3 700 703,3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3 117,7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99,9%</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260 574,2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257 159,3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3 414,8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98,7%</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93 461,5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92 351,0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1 110,5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98,8%</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Охрана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81 949,9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81 649,9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99,6%</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Экологический контроль</w:t>
            </w:r>
          </w:p>
        </w:tc>
        <w:tc>
          <w:tcPr>
            <w:tcW w:w="821" w:type="dxa"/>
            <w:tcBorders>
              <w:top w:val="single" w:sz="4" w:space="0" w:color="auto"/>
              <w:left w:val="nil"/>
              <w:bottom w:val="single" w:sz="4" w:space="0" w:color="auto"/>
              <w:right w:val="single" w:sz="4" w:space="0" w:color="auto"/>
            </w:tcBorders>
            <w:shd w:val="clear" w:color="000000" w:fill="FFFFFF"/>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000000" w:fill="FFFFFF"/>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25 450,0</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25 450,0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Охрана объектов растительного и животного мира и среды их обитания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8 726,4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8 676,4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99,4%</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Прикладные научные исследования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18 810,0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18 810,0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28 963,5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28 713,5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99,1%</w:t>
            </w:r>
          </w:p>
        </w:tc>
      </w:tr>
      <w:tr w:rsidR="00560837" w:rsidRPr="00560837" w:rsidTr="00C16CA0">
        <w:trPr>
          <w:trHeight w:val="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bookmarkStart w:id="1" w:name="RANGE!B43"/>
            <w:r w:rsidRPr="00560837">
              <w:rPr>
                <w:rFonts w:ascii="Times New Roman" w:eastAsia="Times New Roman" w:hAnsi="Times New Roman" w:cs="Times New Roman"/>
                <w:b/>
                <w:bCs/>
                <w:sz w:val="20"/>
                <w:szCs w:val="20"/>
                <w:lang w:eastAsia="ru-RU"/>
              </w:rPr>
              <w:lastRenderedPageBreak/>
              <w:t>Образование</w:t>
            </w:r>
            <w:bookmarkEnd w:id="1"/>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16 950 460,8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16 527 390,1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423 070,7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97,5%</w:t>
            </w:r>
          </w:p>
        </w:tc>
      </w:tr>
      <w:tr w:rsidR="00560837" w:rsidRPr="00560837" w:rsidTr="00C16CA0">
        <w:trPr>
          <w:trHeight w:val="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1 606 427,4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1 594 560,2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11 867,2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99,3%</w:t>
            </w:r>
          </w:p>
        </w:tc>
      </w:tr>
      <w:tr w:rsidR="00560837" w:rsidRPr="00560837" w:rsidTr="00C16CA0">
        <w:trPr>
          <w:trHeight w:val="8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5 877 965,1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5 743 726,7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134 238,4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97,7%</w:t>
            </w:r>
          </w:p>
        </w:tc>
      </w:tr>
      <w:tr w:rsidR="00560837" w:rsidRPr="00560837" w:rsidTr="00C16CA0">
        <w:trPr>
          <w:trHeight w:val="185"/>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Начальное профессиональное образование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397 557,6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357 814,5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39 743,0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90,0%</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Среднее профессиональное образование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843 719,7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800 229,3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43 490,4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94,8%</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Профессиональная подготовка, переподготовка и повышение квалификации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46 430,5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46 087,2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343,3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99,3%</w:t>
            </w:r>
          </w:p>
        </w:tc>
      </w:tr>
      <w:tr w:rsidR="00560837" w:rsidRPr="00560837" w:rsidTr="00C16CA0">
        <w:trPr>
          <w:trHeight w:val="1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Молодежная политика и оздоровление детей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741 620,4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728 415,7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13 204,7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98,2%</w:t>
            </w:r>
          </w:p>
        </w:tc>
      </w:tr>
      <w:tr w:rsidR="00560837" w:rsidRPr="00560837" w:rsidTr="00C16CA0">
        <w:trPr>
          <w:trHeight w:val="267"/>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Прикладные научные исследования в области образования</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08</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10 080,8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9 282,2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798,6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92,1%</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7 426 659,5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7 247 274,3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179 385,1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97,6%</w:t>
            </w:r>
          </w:p>
        </w:tc>
      </w:tr>
      <w:tr w:rsidR="00560837" w:rsidRPr="00560837" w:rsidTr="00C16CA0">
        <w:trPr>
          <w:trHeight w:val="10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2 417 714,7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2 306 263,1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111 451,6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95,4%</w:t>
            </w:r>
          </w:p>
        </w:tc>
      </w:tr>
      <w:tr w:rsidR="00560837" w:rsidRPr="00560837" w:rsidTr="00C16CA0">
        <w:trPr>
          <w:trHeight w:val="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2 163 932,8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2 083 018,9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80 913,9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96,3%</w:t>
            </w:r>
          </w:p>
        </w:tc>
      </w:tr>
      <w:tr w:rsidR="00560837" w:rsidRPr="00560837" w:rsidTr="00C16CA0">
        <w:trPr>
          <w:trHeight w:val="37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 xml:space="preserve">Другие вопросы в области культуры, кинематографии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253 781,9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223 244,2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30 537,7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88,0%</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11 053 132,8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10 853 436,3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199 696,5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98,2%</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4 538 101,0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4 423 671,1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114 429,9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97,5%</w:t>
            </w:r>
          </w:p>
        </w:tc>
      </w:tr>
      <w:tr w:rsidR="00560837" w:rsidRPr="00560837" w:rsidTr="00560837">
        <w:trPr>
          <w:trHeight w:val="255"/>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454 817,0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425 021,6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29 795,4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93,4%</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Санаторно-оздоровительная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689 603,8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689 598,6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493"/>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Заготовка, переработка, хранение и обеспечение безопасности донорской крови и ее компонентов</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72 181,5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61 085,2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11 096,3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84,6%</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5 298 429,4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5 254 059,9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44 369,6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99,2%</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12 169 245,2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11 691 555,5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477 689,7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96,1%</w:t>
            </w:r>
          </w:p>
        </w:tc>
      </w:tr>
      <w:tr w:rsidR="00560837" w:rsidRPr="00560837" w:rsidTr="00C16CA0">
        <w:trPr>
          <w:trHeight w:val="11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Пенсионное обеспечение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289 939,2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247 194,9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42 744,3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85,3%</w:t>
            </w:r>
          </w:p>
        </w:tc>
      </w:tr>
      <w:tr w:rsidR="00560837" w:rsidRPr="00560837" w:rsidTr="00C16CA0">
        <w:trPr>
          <w:trHeight w:val="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1 604 300,3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1 458 565,0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145 735,3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90,9%</w:t>
            </w:r>
          </w:p>
        </w:tc>
      </w:tr>
      <w:tr w:rsidR="00560837" w:rsidRPr="00560837" w:rsidTr="00C16CA0">
        <w:trPr>
          <w:trHeight w:val="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9 665 360,9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9 406 497,5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258 863,4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97,3%</w:t>
            </w:r>
          </w:p>
        </w:tc>
      </w:tr>
      <w:tr w:rsidR="00560837" w:rsidRPr="00560837" w:rsidTr="00C16CA0">
        <w:trPr>
          <w:trHeight w:val="1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333 980,2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317 114,2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16 866,0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94,9%</w:t>
            </w:r>
          </w:p>
        </w:tc>
      </w:tr>
      <w:tr w:rsidR="00560837" w:rsidRPr="00560837" w:rsidTr="00C16CA0">
        <w:trPr>
          <w:trHeight w:val="19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275 664,6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262 183,9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13 480,7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95,1%</w:t>
            </w:r>
          </w:p>
        </w:tc>
      </w:tr>
      <w:tr w:rsidR="00560837" w:rsidRPr="00560837" w:rsidTr="00C16CA0">
        <w:trPr>
          <w:trHeight w:val="9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1 526 432,2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1 497 386,5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29 045,7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98,1%</w:t>
            </w:r>
          </w:p>
        </w:tc>
      </w:tr>
      <w:tr w:rsidR="00560837" w:rsidRPr="00560837" w:rsidTr="00C16CA0">
        <w:trPr>
          <w:trHeight w:val="130"/>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463 048,0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436 727,0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26 321,0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94,3%</w:t>
            </w:r>
          </w:p>
        </w:tc>
      </w:tr>
      <w:tr w:rsidR="00560837" w:rsidRPr="00560837" w:rsidTr="00C16CA0">
        <w:trPr>
          <w:trHeight w:val="7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Массовый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139 310,3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136 810,3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2 500,0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98,2%</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Спорт высших достижений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882 871,6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882 848,5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31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41 202,3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41 000,8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201,5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99,5%</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779 761,8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752 470,0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27 291,8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96,5%</w:t>
            </w:r>
          </w:p>
        </w:tc>
      </w:tr>
      <w:tr w:rsidR="00560837" w:rsidRPr="00560837" w:rsidTr="00C16CA0">
        <w:trPr>
          <w:trHeight w:val="9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Телевидение и радиовещание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261 624,3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251 865,6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9 758,7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96,3%</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188 218,2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187 777,5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440,7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99,8%</w:t>
            </w:r>
          </w:p>
        </w:tc>
      </w:tr>
      <w:tr w:rsidR="00560837" w:rsidRPr="00560837" w:rsidTr="00C16CA0">
        <w:trPr>
          <w:trHeight w:val="13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средств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329 919,3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312 826,9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17 092,4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94,8%</w:t>
            </w:r>
          </w:p>
        </w:tc>
      </w:tr>
      <w:tr w:rsidR="00560837" w:rsidRPr="00560837" w:rsidTr="00C16CA0">
        <w:trPr>
          <w:trHeight w:val="16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166 925,0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142 530,7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24 394,3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85,4%</w:t>
            </w:r>
          </w:p>
        </w:tc>
      </w:tr>
      <w:tr w:rsidR="00560837" w:rsidRPr="00560837" w:rsidTr="00C16CA0">
        <w:trPr>
          <w:trHeight w:val="8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166 925,0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142 530,7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24 394,3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85,4%</w:t>
            </w:r>
          </w:p>
        </w:tc>
      </w:tr>
      <w:tr w:rsidR="00560837" w:rsidRPr="00560837" w:rsidTr="00560837">
        <w:trPr>
          <w:trHeight w:val="76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Межбюджетные трансферты общего характера бюджетам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6 870 610,1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6 851 452,9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19 157,1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99,7%</w:t>
            </w:r>
          </w:p>
        </w:tc>
      </w:tr>
      <w:tr w:rsidR="00560837" w:rsidRPr="00560837" w:rsidTr="00560837">
        <w:trPr>
          <w:trHeight w:val="76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Дотации на выравнивание бюджетной обеспеченности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3 298 121,1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3 298 121,1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560837">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Иные дотации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2 597 666,8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2 578 734,6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18 932,1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99,3%</w:t>
            </w:r>
          </w:p>
        </w:tc>
      </w:tr>
      <w:tr w:rsidR="00560837" w:rsidRPr="00560837" w:rsidTr="00560837">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Прочие межбюджетные трансферты общего характера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974 822,2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974 597,2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225,0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bl>
    <w:p w:rsidR="00560837" w:rsidRDefault="00560837" w:rsidP="00A05F1A">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723202AF" wp14:editId="039DF342">
            <wp:extent cx="6595009" cy="3689968"/>
            <wp:effectExtent l="0" t="0" r="0" b="635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60837" w:rsidRDefault="00560837" w:rsidP="00A05F1A">
      <w:pPr>
        <w:spacing w:after="0" w:line="360" w:lineRule="auto"/>
        <w:ind w:left="-567"/>
        <w:jc w:val="both"/>
        <w:rPr>
          <w:rFonts w:ascii="Times New Roman" w:hAnsi="Times New Roman" w:cs="Times New Roman"/>
          <w:b/>
          <w:sz w:val="24"/>
          <w:szCs w:val="24"/>
        </w:rPr>
      </w:pPr>
    </w:p>
    <w:tbl>
      <w:tblPr>
        <w:tblW w:w="10364" w:type="dxa"/>
        <w:tblInd w:w="-459" w:type="dxa"/>
        <w:tblLook w:val="04A0" w:firstRow="1" w:lastRow="0" w:firstColumn="1" w:lastColumn="0" w:noHBand="0" w:noVBand="1"/>
      </w:tblPr>
      <w:tblGrid>
        <w:gridCol w:w="3686"/>
        <w:gridCol w:w="821"/>
        <w:gridCol w:w="880"/>
        <w:gridCol w:w="1417"/>
        <w:gridCol w:w="1418"/>
        <w:gridCol w:w="1276"/>
        <w:gridCol w:w="866"/>
      </w:tblGrid>
      <w:tr w:rsidR="00560837" w:rsidRPr="00560837" w:rsidTr="00C16CA0">
        <w:trPr>
          <w:trHeight w:val="255"/>
        </w:trPr>
        <w:tc>
          <w:tcPr>
            <w:tcW w:w="10364" w:type="dxa"/>
            <w:gridSpan w:val="7"/>
            <w:tcBorders>
              <w:top w:val="nil"/>
              <w:left w:val="nil"/>
              <w:bottom w:val="nil"/>
              <w:right w:val="nil"/>
            </w:tcBorders>
            <w:shd w:val="clear" w:color="auto" w:fill="auto"/>
            <w:noWrap/>
            <w:vAlign w:val="bottom"/>
            <w:hideMark/>
          </w:tcPr>
          <w:p w:rsidR="00560837" w:rsidRPr="00F704B5" w:rsidRDefault="00560837" w:rsidP="00560837">
            <w:pPr>
              <w:spacing w:after="0" w:line="240" w:lineRule="auto"/>
              <w:jc w:val="center"/>
              <w:rPr>
                <w:rFonts w:ascii="Times New Roman" w:eastAsia="Times New Roman" w:hAnsi="Times New Roman" w:cs="Times New Roman"/>
                <w:b/>
                <w:bCs/>
                <w:sz w:val="24"/>
                <w:szCs w:val="24"/>
                <w:lang w:eastAsia="ru-RU"/>
              </w:rPr>
            </w:pPr>
            <w:r w:rsidRPr="00F704B5">
              <w:rPr>
                <w:rFonts w:ascii="Times New Roman" w:eastAsia="Times New Roman" w:hAnsi="Times New Roman" w:cs="Times New Roman"/>
                <w:b/>
                <w:bCs/>
                <w:sz w:val="24"/>
                <w:szCs w:val="24"/>
                <w:lang w:eastAsia="ru-RU"/>
              </w:rPr>
              <w:t>Расходы районных бюджетов за 2012 год по ФКР</w:t>
            </w:r>
          </w:p>
        </w:tc>
      </w:tr>
      <w:tr w:rsidR="00560837" w:rsidRPr="00560837" w:rsidTr="00C16CA0">
        <w:trPr>
          <w:trHeight w:val="255"/>
        </w:trPr>
        <w:tc>
          <w:tcPr>
            <w:tcW w:w="3686"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880"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1417"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p>
        </w:tc>
        <w:tc>
          <w:tcPr>
            <w:tcW w:w="1418"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jc w:val="right"/>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jc w:val="right"/>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 xml:space="preserve">тыс. </w:t>
            </w:r>
          </w:p>
        </w:tc>
        <w:tc>
          <w:tcPr>
            <w:tcW w:w="866" w:type="dxa"/>
            <w:tcBorders>
              <w:top w:val="nil"/>
              <w:left w:val="nil"/>
              <w:bottom w:val="single" w:sz="4" w:space="0" w:color="auto"/>
              <w:right w:val="nil"/>
            </w:tcBorders>
            <w:shd w:val="clear" w:color="auto" w:fill="auto"/>
            <w:noWrap/>
            <w:vAlign w:val="bottom"/>
            <w:hideMark/>
          </w:tcPr>
          <w:p w:rsidR="00560837" w:rsidRPr="00560837" w:rsidRDefault="00560837" w:rsidP="00560837">
            <w:pPr>
              <w:spacing w:after="0" w:line="240" w:lineRule="auto"/>
              <w:jc w:val="right"/>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рублей</w:t>
            </w:r>
          </w:p>
        </w:tc>
      </w:tr>
      <w:tr w:rsidR="00560837" w:rsidRPr="00560837" w:rsidTr="00C16CA0">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 xml:space="preserve">Раздел </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proofErr w:type="spellStart"/>
            <w:r w:rsidRPr="00560837">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План</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proofErr w:type="spellStart"/>
            <w:r w:rsidRPr="00560837">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66" w:type="dxa"/>
            <w:tcBorders>
              <w:top w:val="single" w:sz="4" w:space="0" w:color="auto"/>
              <w:left w:val="nil"/>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560837" w:rsidRPr="00560837" w:rsidTr="00C16CA0">
        <w:trPr>
          <w:trHeight w:val="8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15 919 250,6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15 517 864,0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401 386,5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97,5%</w:t>
            </w:r>
          </w:p>
        </w:tc>
      </w:tr>
      <w:tr w:rsidR="00560837" w:rsidRPr="00560837" w:rsidTr="00C16CA0">
        <w:trPr>
          <w:trHeight w:val="104"/>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1 074 004,6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1 026 018,2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47 986,4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95,5%</w:t>
            </w:r>
          </w:p>
        </w:tc>
      </w:tr>
      <w:tr w:rsidR="00560837" w:rsidRPr="00560837" w:rsidTr="00C16CA0">
        <w:trPr>
          <w:trHeight w:val="69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13 262,1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13 188,9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73,2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99,4%</w:t>
            </w:r>
          </w:p>
        </w:tc>
      </w:tr>
      <w:tr w:rsidR="00560837" w:rsidRPr="00560837" w:rsidTr="00C16CA0">
        <w:trPr>
          <w:trHeight w:val="88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46 896,3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46 788,5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107,8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99,8%</w:t>
            </w:r>
          </w:p>
        </w:tc>
      </w:tr>
      <w:tr w:rsidR="00560837" w:rsidRPr="00560837" w:rsidTr="00C16CA0">
        <w:trPr>
          <w:trHeight w:val="11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598 106,9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569 552,7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28 554,2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95,2%</w:t>
            </w:r>
          </w:p>
        </w:tc>
      </w:tr>
      <w:tr w:rsidR="00560837" w:rsidRPr="00560837" w:rsidTr="00C16CA0">
        <w:trPr>
          <w:trHeight w:val="19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67,5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58,7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13,0%</w:t>
            </w:r>
          </w:p>
        </w:tc>
      </w:tr>
      <w:tr w:rsidR="00560837" w:rsidRPr="00560837" w:rsidTr="00C16CA0">
        <w:trPr>
          <w:trHeight w:val="83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287 477,4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284 715,2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2 762,2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99,0%</w:t>
            </w:r>
          </w:p>
        </w:tc>
      </w:tr>
      <w:tr w:rsidR="00560837" w:rsidRPr="00560837" w:rsidTr="00C16CA0">
        <w:trPr>
          <w:trHeight w:val="287"/>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Обеспечение проведения выборов и референдумов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491,9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491,9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287"/>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5 832,5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1 999,2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3 833,3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34,3%</w:t>
            </w:r>
          </w:p>
        </w:tc>
      </w:tr>
      <w:tr w:rsidR="00560837" w:rsidRPr="00560837" w:rsidTr="00C16CA0">
        <w:trPr>
          <w:trHeight w:val="334"/>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121 870,0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109 273,0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12 597,0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89,7%</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28 907,7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28 907,7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100,0%</w:t>
            </w:r>
          </w:p>
        </w:tc>
      </w:tr>
      <w:tr w:rsidR="00560837" w:rsidRPr="00560837" w:rsidTr="00C16CA0">
        <w:trPr>
          <w:trHeight w:val="25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28 907,7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28 907,7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11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lastRenderedPageBreak/>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85 352,1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67 482,0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17 870,1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79,1%</w:t>
            </w:r>
          </w:p>
        </w:tc>
      </w:tr>
      <w:tr w:rsidR="00560837" w:rsidRPr="00560837" w:rsidTr="00C16CA0">
        <w:trPr>
          <w:trHeight w:val="62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Защита населения и территории от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85 282,1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67 412,0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17 870,1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79,0%</w:t>
            </w:r>
          </w:p>
        </w:tc>
      </w:tr>
      <w:tr w:rsidR="00560837" w:rsidRPr="00560837" w:rsidTr="00C16CA0">
        <w:trPr>
          <w:trHeight w:val="372"/>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национальной безопасности и правоохранительной деятельности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128"/>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351 752,6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349 265,3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2 487,3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99,3%</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234 078,0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232 942,8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1 135,2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99,5%</w:t>
            </w:r>
          </w:p>
        </w:tc>
      </w:tr>
      <w:tr w:rsidR="00560837" w:rsidRPr="00560837" w:rsidTr="00C16CA0">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Дорожное хозяйство (дорожные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7 000,0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7 000,0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36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110 674,7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109 322,5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1 352,1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98,8%</w:t>
            </w:r>
          </w:p>
        </w:tc>
      </w:tr>
      <w:tr w:rsidR="00560837" w:rsidRPr="00560837" w:rsidTr="00C16CA0">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b/>
                <w:bCs/>
                <w:color w:val="000000"/>
                <w:sz w:val="20"/>
                <w:szCs w:val="20"/>
                <w:lang w:eastAsia="ru-RU"/>
              </w:rPr>
            </w:pPr>
            <w:r w:rsidRPr="00560837">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776 212,6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740 482,2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35 730,4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95,4%</w:t>
            </w:r>
          </w:p>
        </w:tc>
      </w:tr>
      <w:tr w:rsidR="00560837" w:rsidRPr="00560837" w:rsidTr="00C16CA0">
        <w:trPr>
          <w:trHeight w:val="136"/>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173 866,9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173 859,7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154"/>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282 892,6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282 879,7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112"/>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313 546,6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277 836,2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35 710,4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88,6%</w:t>
            </w:r>
          </w:p>
        </w:tc>
      </w:tr>
      <w:tr w:rsidR="00560837" w:rsidRPr="00560837" w:rsidTr="00C16CA0">
        <w:trPr>
          <w:trHeight w:val="90"/>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560837" w:rsidRPr="00560837" w:rsidRDefault="009735D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5 906,5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5 906,5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7 873 333,4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7 786 959,8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86 373,7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98,9%</w:t>
            </w:r>
          </w:p>
        </w:tc>
      </w:tr>
      <w:tr w:rsidR="00560837" w:rsidRPr="00560837" w:rsidTr="00C16CA0">
        <w:trPr>
          <w:trHeight w:val="72"/>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828 699,1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821 978,4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6 720,6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99,2%</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6 698 324,3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6 626 097,7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72 226,6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98,9%</w:t>
            </w:r>
          </w:p>
        </w:tc>
      </w:tr>
      <w:tr w:rsidR="00560837" w:rsidRPr="00560837" w:rsidTr="00C16CA0">
        <w:trPr>
          <w:trHeight w:val="17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07</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346 310,1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338 883,7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7 426,4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97,9%</w:t>
            </w:r>
          </w:p>
        </w:tc>
      </w:tr>
      <w:tr w:rsidR="00560837" w:rsidRPr="00560837" w:rsidTr="00C16CA0">
        <w:trPr>
          <w:trHeight w:val="140"/>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Культура, кинематография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338 992,2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332 233,0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6 759,2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98,0%</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236 728,1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233 282,3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3 445,8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98,5%</w:t>
            </w:r>
          </w:p>
        </w:tc>
      </w:tr>
      <w:tr w:rsidR="00560837" w:rsidRPr="00560837" w:rsidTr="00C16CA0">
        <w:trPr>
          <w:trHeight w:val="318"/>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культуры, кинематографии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102 264,1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98 950,7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3 313,4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96,8%</w:t>
            </w:r>
          </w:p>
        </w:tc>
      </w:tr>
      <w:tr w:rsidR="00560837" w:rsidRPr="00560837" w:rsidTr="00C16CA0">
        <w:trPr>
          <w:trHeight w:val="126"/>
        </w:trPr>
        <w:tc>
          <w:tcPr>
            <w:tcW w:w="3686" w:type="dxa"/>
            <w:tcBorders>
              <w:top w:val="single" w:sz="4" w:space="0" w:color="auto"/>
              <w:left w:val="single" w:sz="4" w:space="0" w:color="auto"/>
              <w:bottom w:val="single" w:sz="4" w:space="0" w:color="auto"/>
              <w:right w:val="nil"/>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964 580,6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934 039,2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30 541,5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96,8%</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823 349,5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801 185,5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22 164,0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97,3%</w:t>
            </w:r>
          </w:p>
        </w:tc>
      </w:tr>
      <w:tr w:rsidR="00560837" w:rsidRPr="00560837" w:rsidTr="00C16CA0">
        <w:trPr>
          <w:trHeight w:val="189"/>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107 360,1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100 645,1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6 715,0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93,7%</w:t>
            </w:r>
          </w:p>
        </w:tc>
      </w:tr>
      <w:tr w:rsidR="00560837" w:rsidRPr="00560837" w:rsidTr="00C16CA0">
        <w:trPr>
          <w:trHeight w:val="6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Скорая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30 935,9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29 592,8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1 343,1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95,7%</w:t>
            </w:r>
          </w:p>
        </w:tc>
      </w:tr>
      <w:tr w:rsidR="00560837" w:rsidRPr="00560837" w:rsidTr="00C16CA0">
        <w:trPr>
          <w:trHeight w:val="22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2 935,1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2 615,8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319,3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89,1%</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3 511 193,5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3 392 406,7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118 786,8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96,6%</w:t>
            </w:r>
          </w:p>
        </w:tc>
      </w:tr>
      <w:tr w:rsidR="00560837" w:rsidRPr="00560837" w:rsidTr="00C16CA0">
        <w:trPr>
          <w:trHeight w:val="194"/>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Пенсионное обеспечение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497,3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453,6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43,7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91,2%</w:t>
            </w:r>
          </w:p>
        </w:tc>
      </w:tr>
      <w:tr w:rsidR="00560837" w:rsidRPr="00560837" w:rsidTr="00C16CA0">
        <w:trPr>
          <w:trHeight w:val="70"/>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327 145,2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326 966,1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179,1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99,9%</w:t>
            </w:r>
          </w:p>
        </w:tc>
      </w:tr>
      <w:tr w:rsidR="00560837" w:rsidRPr="00560837" w:rsidTr="00C16CA0">
        <w:trPr>
          <w:trHeight w:val="102"/>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2 994 371,1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2 878 406,3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115 964,8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96,1%</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105 363,0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102 940,7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2 422,2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97,7%</w:t>
            </w:r>
          </w:p>
        </w:tc>
      </w:tr>
      <w:tr w:rsidR="00560837" w:rsidRPr="00560837" w:rsidTr="00C16CA0">
        <w:trPr>
          <w:trHeight w:val="30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83 817,0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83 639,9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177,0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99,8%</w:t>
            </w:r>
          </w:p>
        </w:tc>
      </w:tr>
      <w:tr w:rsidR="00560837" w:rsidRPr="00560837" w:rsidTr="00C16CA0">
        <w:trPr>
          <w:trHeight w:val="426"/>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150 672,7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97 022,7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53 649,9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64,4%</w:t>
            </w:r>
          </w:p>
        </w:tc>
      </w:tr>
      <w:tr w:rsidR="00560837" w:rsidRPr="00560837" w:rsidTr="00C16CA0">
        <w:trPr>
          <w:trHeight w:val="287"/>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60 816,3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60 816,3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348"/>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Массовый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50 000,0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50 000,0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r>
      <w:tr w:rsidR="00560837" w:rsidRPr="00560837" w:rsidTr="00C16CA0">
        <w:trPr>
          <w:trHeight w:val="18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39 856,3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36 206,4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3 649,9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90,8%</w:t>
            </w:r>
          </w:p>
        </w:tc>
      </w:tr>
      <w:tr w:rsidR="00560837" w:rsidRPr="00560837" w:rsidTr="00C16CA0">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57 057,8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57 057,8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100,0%</w:t>
            </w:r>
          </w:p>
        </w:tc>
      </w:tr>
      <w:tr w:rsidR="00560837" w:rsidRPr="00560837" w:rsidTr="00C16CA0">
        <w:trPr>
          <w:trHeight w:val="3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57 057,8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57 057,8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29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9 638,1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9 638,1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100,0%</w:t>
            </w:r>
          </w:p>
        </w:tc>
      </w:tr>
      <w:tr w:rsidR="00560837" w:rsidRPr="00560837" w:rsidTr="00C16CA0">
        <w:trPr>
          <w:trHeight w:val="613"/>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9 638,1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9 638,1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r w:rsidR="00560837" w:rsidRPr="00560837" w:rsidTr="00C16CA0">
        <w:trPr>
          <w:trHeight w:val="54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Межбюджетные трансферты общего характера бюджетам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697 552,6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696 351,4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1 201,3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b/>
                <w:bCs/>
                <w:sz w:val="20"/>
                <w:szCs w:val="20"/>
                <w:lang w:eastAsia="ru-RU"/>
              </w:rPr>
            </w:pPr>
            <w:r w:rsidRPr="00560837">
              <w:rPr>
                <w:rFonts w:ascii="Times New Roman" w:eastAsia="Times New Roman" w:hAnsi="Times New Roman" w:cs="Times New Roman"/>
                <w:b/>
                <w:bCs/>
                <w:sz w:val="20"/>
                <w:szCs w:val="20"/>
                <w:lang w:eastAsia="ru-RU"/>
              </w:rPr>
              <w:t>99,8%</w:t>
            </w:r>
          </w:p>
        </w:tc>
      </w:tr>
      <w:tr w:rsidR="00560837" w:rsidRPr="00560837" w:rsidTr="00C16CA0">
        <w:trPr>
          <w:trHeight w:val="80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lastRenderedPageBreak/>
              <w:t>Дотации на выравнивание бюджетной обеспеченности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624 876,8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624 064,1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812,7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99,9%</w:t>
            </w:r>
          </w:p>
        </w:tc>
      </w:tr>
      <w:tr w:rsidR="00560837" w:rsidRPr="00560837" w:rsidTr="00C16CA0">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Иные дотации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49 719,5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49 331,0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388,5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99,2%</w:t>
            </w:r>
          </w:p>
        </w:tc>
      </w:tr>
      <w:tr w:rsidR="00560837" w:rsidRPr="00560837" w:rsidTr="00C16CA0">
        <w:trPr>
          <w:trHeight w:val="268"/>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0837" w:rsidRPr="00560837" w:rsidRDefault="00560837" w:rsidP="00560837">
            <w:pPr>
              <w:spacing w:after="0" w:line="240" w:lineRule="auto"/>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Прочие межбюджетные трансферты общего характера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22 956,3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22 956,3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560837" w:rsidRPr="00560837" w:rsidRDefault="00560837" w:rsidP="00560837">
            <w:pPr>
              <w:spacing w:after="0" w:line="240" w:lineRule="auto"/>
              <w:jc w:val="center"/>
              <w:rPr>
                <w:rFonts w:ascii="Times New Roman" w:eastAsia="Times New Roman" w:hAnsi="Times New Roman" w:cs="Times New Roman"/>
                <w:sz w:val="20"/>
                <w:szCs w:val="20"/>
                <w:lang w:eastAsia="ru-RU"/>
              </w:rPr>
            </w:pPr>
            <w:r w:rsidRPr="00560837">
              <w:rPr>
                <w:rFonts w:ascii="Times New Roman" w:eastAsia="Times New Roman" w:hAnsi="Times New Roman" w:cs="Times New Roman"/>
                <w:sz w:val="20"/>
                <w:szCs w:val="20"/>
                <w:lang w:eastAsia="ru-RU"/>
              </w:rPr>
              <w:t>100,0%</w:t>
            </w:r>
          </w:p>
        </w:tc>
      </w:tr>
    </w:tbl>
    <w:p w:rsidR="00560837" w:rsidRDefault="00560837" w:rsidP="00A05F1A">
      <w:pPr>
        <w:spacing w:after="0" w:line="360" w:lineRule="auto"/>
        <w:ind w:left="-567"/>
        <w:jc w:val="both"/>
        <w:rPr>
          <w:rFonts w:ascii="Times New Roman" w:hAnsi="Times New Roman" w:cs="Times New Roman"/>
          <w:b/>
          <w:sz w:val="24"/>
          <w:szCs w:val="24"/>
        </w:rPr>
      </w:pPr>
    </w:p>
    <w:p w:rsidR="00F704B5" w:rsidRDefault="00F704B5"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5D89CBDE" wp14:editId="0A5EF9E4">
            <wp:extent cx="6595009" cy="3738521"/>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F704B5" w:rsidRDefault="00F704B5" w:rsidP="00A05F1A">
      <w:pPr>
        <w:spacing w:after="0" w:line="360" w:lineRule="auto"/>
        <w:ind w:left="-567"/>
        <w:jc w:val="both"/>
        <w:rPr>
          <w:rFonts w:ascii="Times New Roman" w:hAnsi="Times New Roman" w:cs="Times New Roman"/>
          <w:b/>
          <w:sz w:val="24"/>
          <w:szCs w:val="24"/>
        </w:rPr>
      </w:pPr>
    </w:p>
    <w:p w:rsidR="00F704B5" w:rsidRDefault="00F704B5"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705"/>
        <w:gridCol w:w="821"/>
        <w:gridCol w:w="861"/>
        <w:gridCol w:w="1417"/>
        <w:gridCol w:w="1418"/>
        <w:gridCol w:w="1276"/>
        <w:gridCol w:w="866"/>
      </w:tblGrid>
      <w:tr w:rsidR="009735D7" w:rsidRPr="009735D7" w:rsidTr="009735D7">
        <w:trPr>
          <w:trHeight w:val="255"/>
        </w:trPr>
        <w:tc>
          <w:tcPr>
            <w:tcW w:w="10348" w:type="dxa"/>
            <w:gridSpan w:val="7"/>
            <w:tcBorders>
              <w:top w:val="nil"/>
              <w:left w:val="nil"/>
              <w:bottom w:val="nil"/>
              <w:right w:val="nil"/>
            </w:tcBorders>
            <w:shd w:val="clear" w:color="auto" w:fill="auto"/>
            <w:noWrap/>
            <w:vAlign w:val="bottom"/>
            <w:hideMark/>
          </w:tcPr>
          <w:p w:rsidR="009735D7" w:rsidRPr="009735D7" w:rsidRDefault="009735D7" w:rsidP="009735D7">
            <w:pPr>
              <w:spacing w:after="0" w:line="240" w:lineRule="auto"/>
              <w:jc w:val="center"/>
              <w:rPr>
                <w:rFonts w:ascii="Times New Roman" w:eastAsia="Times New Roman" w:hAnsi="Times New Roman" w:cs="Times New Roman"/>
                <w:b/>
                <w:bCs/>
                <w:sz w:val="24"/>
                <w:szCs w:val="24"/>
                <w:lang w:eastAsia="ru-RU"/>
              </w:rPr>
            </w:pPr>
            <w:r w:rsidRPr="009735D7">
              <w:rPr>
                <w:rFonts w:ascii="Times New Roman" w:eastAsia="Times New Roman" w:hAnsi="Times New Roman" w:cs="Times New Roman"/>
                <w:b/>
                <w:bCs/>
                <w:sz w:val="24"/>
                <w:szCs w:val="24"/>
                <w:lang w:eastAsia="ru-RU"/>
              </w:rPr>
              <w:t>Расходы бюджетов городских округов за 2012 год по ФКР</w:t>
            </w:r>
          </w:p>
        </w:tc>
      </w:tr>
      <w:tr w:rsidR="009735D7" w:rsidRPr="009735D7" w:rsidTr="009735D7">
        <w:trPr>
          <w:trHeight w:val="255"/>
        </w:trPr>
        <w:tc>
          <w:tcPr>
            <w:tcW w:w="3705"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p>
        </w:tc>
        <w:tc>
          <w:tcPr>
            <w:tcW w:w="861"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p>
        </w:tc>
        <w:tc>
          <w:tcPr>
            <w:tcW w:w="1417"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p>
        </w:tc>
        <w:tc>
          <w:tcPr>
            <w:tcW w:w="1418"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jc w:val="right"/>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jc w:val="right"/>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 xml:space="preserve">тыс. </w:t>
            </w:r>
          </w:p>
        </w:tc>
        <w:tc>
          <w:tcPr>
            <w:tcW w:w="850" w:type="dxa"/>
            <w:tcBorders>
              <w:top w:val="nil"/>
              <w:left w:val="nil"/>
              <w:bottom w:val="single" w:sz="4" w:space="0" w:color="auto"/>
              <w:right w:val="nil"/>
            </w:tcBorders>
            <w:shd w:val="clear" w:color="auto" w:fill="auto"/>
            <w:noWrap/>
            <w:vAlign w:val="bottom"/>
            <w:hideMark/>
          </w:tcPr>
          <w:p w:rsidR="009735D7" w:rsidRPr="009735D7" w:rsidRDefault="009735D7" w:rsidP="009735D7">
            <w:pPr>
              <w:spacing w:after="0" w:line="240" w:lineRule="auto"/>
              <w:jc w:val="right"/>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рублей</w:t>
            </w:r>
          </w:p>
        </w:tc>
      </w:tr>
      <w:tr w:rsidR="009735D7" w:rsidRPr="009735D7" w:rsidTr="009735D7">
        <w:trPr>
          <w:trHeight w:val="510"/>
        </w:trPr>
        <w:tc>
          <w:tcPr>
            <w:tcW w:w="37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 xml:space="preserve">Раздел </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proofErr w:type="spellStart"/>
            <w:r>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План</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proofErr w:type="spellStart"/>
            <w:r w:rsidRPr="009735D7">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Исп.</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6 849 585,2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6 760 758,3</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88 826,9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98,7%</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430 039,4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428 293,7</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1 745,8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99,6%</w:t>
            </w:r>
          </w:p>
        </w:tc>
      </w:tr>
      <w:tr w:rsidR="009735D7" w:rsidRPr="009735D7" w:rsidTr="009735D7">
        <w:trPr>
          <w:trHeight w:val="765"/>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3 370,1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3 346,8</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99,3%</w:t>
            </w:r>
          </w:p>
        </w:tc>
      </w:tr>
      <w:tr w:rsidR="009735D7" w:rsidRPr="009735D7" w:rsidTr="009735D7">
        <w:trPr>
          <w:trHeight w:val="414"/>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57 344,7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57 342,2</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9735D7">
        <w:trPr>
          <w:trHeight w:val="765"/>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231 165,0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230 560,5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604,5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99,7%</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20,7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r>
      <w:tr w:rsidR="009735D7" w:rsidRPr="009735D7" w:rsidTr="009735D7">
        <w:trPr>
          <w:trHeight w:val="1020"/>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lastRenderedPageBreak/>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79 389,4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79 176,6</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212,7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99,7%</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346,9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346,9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r>
      <w:tr w:rsidR="009735D7" w:rsidRPr="009735D7" w:rsidTr="009735D7">
        <w:trPr>
          <w:trHeight w:val="270"/>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58 402,5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57 867,5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535,0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99,1%</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02</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567,2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567,2</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100,0%</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567,2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567,2</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05564F">
        <w:trPr>
          <w:trHeight w:val="72"/>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03</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25 374,4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21 222,6</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4 151,8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83,6%</w:t>
            </w:r>
          </w:p>
        </w:tc>
      </w:tr>
      <w:tr w:rsidR="009735D7" w:rsidRPr="009735D7" w:rsidTr="0005564F">
        <w:trPr>
          <w:trHeight w:val="447"/>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Защита населения и территории от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03</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25 374,4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21 222,6</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4 151,8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83,6%</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04</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593 547,9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543 534,6</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50 013,3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91,6%</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10 894,3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10 885,8</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99,9%</w:t>
            </w:r>
          </w:p>
        </w:tc>
      </w:tr>
      <w:tr w:rsidR="009735D7" w:rsidRPr="009735D7" w:rsidTr="0005564F">
        <w:trPr>
          <w:trHeight w:val="217"/>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Дорожное хозяйство (дорожные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536 608,4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486 604,2</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50 004,2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90,7%</w:t>
            </w:r>
          </w:p>
        </w:tc>
      </w:tr>
      <w:tr w:rsidR="009735D7" w:rsidRPr="009735D7" w:rsidTr="009735D7">
        <w:trPr>
          <w:trHeight w:val="510"/>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46 045,3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46 044,6</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b/>
                <w:bCs/>
                <w:color w:val="000000"/>
                <w:sz w:val="20"/>
                <w:szCs w:val="20"/>
                <w:lang w:eastAsia="ru-RU"/>
              </w:rPr>
            </w:pPr>
            <w:r w:rsidRPr="009735D7">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05</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1 712 370,6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1 704 178,3</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8 192,2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99,5%</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736 404,9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728 342,1</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8 062,8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98,9%</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230 416,1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230 337,9</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78,2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05564F">
        <w:trPr>
          <w:trHeight w:val="177"/>
        </w:trPr>
        <w:tc>
          <w:tcPr>
            <w:tcW w:w="3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726 791,4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726 789,9</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9735D7">
        <w:trPr>
          <w:trHeight w:val="510"/>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18 758,1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18 708,4</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49,7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99,7%</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07</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2 488 446,0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2 481 437,5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7 008,5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99,7%</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07</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555 953,1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552 285,3</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3 667,8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99,3%</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07</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1 768 766,6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1 766 044,1</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2 722,5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99,8%</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07</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163 726,3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163 108,1</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618,2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99,6%</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08</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80 006,1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79 949,4</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56,6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99,9%</w:t>
            </w:r>
          </w:p>
        </w:tc>
      </w:tr>
      <w:tr w:rsidR="009735D7" w:rsidRPr="009735D7" w:rsidTr="0005564F">
        <w:trPr>
          <w:trHeight w:val="90"/>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08</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60 763,5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60 763,5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05564F">
        <w:trPr>
          <w:trHeight w:val="292"/>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 xml:space="preserve">Другие вопросы в области культуры, кинематографии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08</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19 242,6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19 185,9</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56,6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99,7%</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09</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398 279,0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396 152,4</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2 126,7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99,5%</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129 114,5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128 712,0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402,5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99,7%</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93 137,9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92 440,5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697,4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99,3%</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Скорая медицинская помощь</w:t>
            </w:r>
          </w:p>
        </w:tc>
        <w:tc>
          <w:tcPr>
            <w:tcW w:w="821"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861"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108 605,1</w:t>
            </w: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107 578,4</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1 026,7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99,1%</w:t>
            </w:r>
          </w:p>
        </w:tc>
      </w:tr>
      <w:tr w:rsidR="009735D7" w:rsidRPr="009735D7" w:rsidTr="0005564F">
        <w:trPr>
          <w:trHeight w:val="386"/>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67 421,5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67 421,5</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10</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1 027 574,4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1 012 705,8</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14 868,6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98,6%</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116 607,1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116 598,8</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8,3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828 670,6</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814 371,2</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14 299,4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98,3%</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39 558,2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39 000,1</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558,0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98,6%</w:t>
            </w:r>
          </w:p>
        </w:tc>
      </w:tr>
      <w:tr w:rsidR="009735D7" w:rsidRPr="009735D7" w:rsidTr="0005564F">
        <w:trPr>
          <w:trHeight w:val="124"/>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06</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42 738,5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42 735,7</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89 312,5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88 649,1</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663,4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99,3%</w:t>
            </w:r>
          </w:p>
        </w:tc>
      </w:tr>
      <w:tr w:rsidR="009735D7" w:rsidRPr="009735D7" w:rsidTr="009735D7">
        <w:trPr>
          <w:trHeight w:val="255"/>
        </w:trPr>
        <w:tc>
          <w:tcPr>
            <w:tcW w:w="3705" w:type="dxa"/>
            <w:tcBorders>
              <w:top w:val="single" w:sz="4" w:space="0" w:color="auto"/>
              <w:left w:val="single" w:sz="4" w:space="0" w:color="auto"/>
              <w:bottom w:val="single" w:sz="4" w:space="0" w:color="auto"/>
              <w:right w:val="single" w:sz="4" w:space="0" w:color="auto"/>
            </w:tcBorders>
            <w:shd w:val="clear" w:color="auto" w:fill="auto"/>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70 826,9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70 826,9</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05564F">
        <w:trPr>
          <w:trHeight w:val="149"/>
        </w:trPr>
        <w:tc>
          <w:tcPr>
            <w:tcW w:w="3705"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Прикладные научные исследования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634,1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634,1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r>
      <w:tr w:rsidR="009735D7" w:rsidRPr="009735D7" w:rsidTr="0005564F">
        <w:trPr>
          <w:trHeight w:val="99"/>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11</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17 851,5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17 822,2</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29,3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99,8%</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12</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2 837,7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2 837,7</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100,0%</w:t>
            </w:r>
          </w:p>
        </w:tc>
      </w:tr>
      <w:tr w:rsidR="009735D7" w:rsidRPr="009735D7" w:rsidTr="0005564F">
        <w:trPr>
          <w:trHeight w:val="61"/>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12</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2 837,7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2 837,7</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r w:rsidR="009735D7" w:rsidRPr="009735D7" w:rsidTr="0005564F">
        <w:trPr>
          <w:trHeight w:val="153"/>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13</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1 230,0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1 230,0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b/>
                <w:bCs/>
                <w:sz w:val="20"/>
                <w:szCs w:val="20"/>
                <w:lang w:eastAsia="ru-RU"/>
              </w:rPr>
            </w:pPr>
            <w:r w:rsidRPr="009735D7">
              <w:rPr>
                <w:rFonts w:ascii="Times New Roman" w:eastAsia="Times New Roman" w:hAnsi="Times New Roman" w:cs="Times New Roman"/>
                <w:b/>
                <w:bCs/>
                <w:sz w:val="20"/>
                <w:szCs w:val="20"/>
                <w:lang w:eastAsia="ru-RU"/>
              </w:rPr>
              <w:t>100,0%</w:t>
            </w:r>
          </w:p>
        </w:tc>
      </w:tr>
      <w:tr w:rsidR="009735D7" w:rsidRPr="009735D7" w:rsidTr="0005564F">
        <w:trPr>
          <w:trHeight w:val="103"/>
        </w:trPr>
        <w:tc>
          <w:tcPr>
            <w:tcW w:w="37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35D7" w:rsidRPr="009735D7" w:rsidRDefault="009735D7" w:rsidP="009735D7">
            <w:pPr>
              <w:spacing w:after="0" w:line="240" w:lineRule="auto"/>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13</w:t>
            </w:r>
          </w:p>
        </w:tc>
        <w:tc>
          <w:tcPr>
            <w:tcW w:w="861"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1 230,0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1 230,0</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735D7" w:rsidRPr="009735D7" w:rsidRDefault="009735D7" w:rsidP="009735D7">
            <w:pPr>
              <w:spacing w:after="0" w:line="240" w:lineRule="auto"/>
              <w:jc w:val="center"/>
              <w:rPr>
                <w:rFonts w:ascii="Times New Roman" w:eastAsia="Times New Roman" w:hAnsi="Times New Roman" w:cs="Times New Roman"/>
                <w:sz w:val="20"/>
                <w:szCs w:val="20"/>
                <w:lang w:eastAsia="ru-RU"/>
              </w:rPr>
            </w:pPr>
            <w:r w:rsidRPr="009735D7">
              <w:rPr>
                <w:rFonts w:ascii="Times New Roman" w:eastAsia="Times New Roman" w:hAnsi="Times New Roman" w:cs="Times New Roman"/>
                <w:sz w:val="20"/>
                <w:szCs w:val="20"/>
                <w:lang w:eastAsia="ru-RU"/>
              </w:rPr>
              <w:t>100,0%</w:t>
            </w:r>
          </w:p>
        </w:tc>
      </w:tr>
    </w:tbl>
    <w:p w:rsidR="009735D7" w:rsidRDefault="009735D7" w:rsidP="00A05F1A">
      <w:pPr>
        <w:spacing w:after="0" w:line="360" w:lineRule="auto"/>
        <w:ind w:left="-567"/>
        <w:jc w:val="both"/>
        <w:rPr>
          <w:rFonts w:ascii="Times New Roman" w:hAnsi="Times New Roman" w:cs="Times New Roman"/>
          <w:b/>
          <w:sz w:val="24"/>
          <w:szCs w:val="24"/>
        </w:rPr>
      </w:pPr>
    </w:p>
    <w:p w:rsidR="009735D7" w:rsidRDefault="009735D7"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78A54510" wp14:editId="77578194">
            <wp:extent cx="6554549" cy="3609048"/>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94A52" w:rsidRDefault="00894A52" w:rsidP="00A05F1A">
      <w:pPr>
        <w:spacing w:after="0" w:line="360" w:lineRule="auto"/>
        <w:ind w:left="-567"/>
        <w:jc w:val="both"/>
        <w:rPr>
          <w:rFonts w:ascii="Times New Roman" w:hAnsi="Times New Roman" w:cs="Times New Roman"/>
          <w:b/>
          <w:sz w:val="24"/>
          <w:szCs w:val="24"/>
        </w:rPr>
      </w:pPr>
    </w:p>
    <w:p w:rsidR="00894A52" w:rsidRDefault="00894A52"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686"/>
        <w:gridCol w:w="821"/>
        <w:gridCol w:w="880"/>
        <w:gridCol w:w="1417"/>
        <w:gridCol w:w="1418"/>
        <w:gridCol w:w="1276"/>
        <w:gridCol w:w="866"/>
      </w:tblGrid>
      <w:tr w:rsidR="0005564F" w:rsidRPr="0005564F" w:rsidTr="0005564F">
        <w:trPr>
          <w:trHeight w:val="255"/>
        </w:trPr>
        <w:tc>
          <w:tcPr>
            <w:tcW w:w="10348" w:type="dxa"/>
            <w:gridSpan w:val="7"/>
            <w:tcBorders>
              <w:top w:val="nil"/>
              <w:left w:val="nil"/>
              <w:bottom w:val="nil"/>
              <w:right w:val="nil"/>
            </w:tcBorders>
            <w:shd w:val="clear" w:color="auto" w:fill="auto"/>
            <w:noWrap/>
            <w:vAlign w:val="bottom"/>
            <w:hideMark/>
          </w:tcPr>
          <w:p w:rsidR="0005564F" w:rsidRPr="0005564F" w:rsidRDefault="0005564F" w:rsidP="0005564F">
            <w:pPr>
              <w:spacing w:after="0" w:line="240" w:lineRule="auto"/>
              <w:jc w:val="center"/>
              <w:rPr>
                <w:rFonts w:ascii="Times New Roman" w:eastAsia="Times New Roman" w:hAnsi="Times New Roman" w:cs="Times New Roman"/>
                <w:b/>
                <w:bCs/>
                <w:sz w:val="24"/>
                <w:szCs w:val="24"/>
                <w:lang w:eastAsia="ru-RU"/>
              </w:rPr>
            </w:pPr>
            <w:r w:rsidRPr="0005564F">
              <w:rPr>
                <w:rFonts w:ascii="Times New Roman" w:eastAsia="Times New Roman" w:hAnsi="Times New Roman" w:cs="Times New Roman"/>
                <w:b/>
                <w:bCs/>
                <w:sz w:val="24"/>
                <w:szCs w:val="24"/>
                <w:lang w:eastAsia="ru-RU"/>
              </w:rPr>
              <w:t>Расходы бюджетов поселений за 2012 год по ФКР</w:t>
            </w:r>
          </w:p>
        </w:tc>
      </w:tr>
      <w:tr w:rsidR="0005564F" w:rsidRPr="0005564F" w:rsidTr="0005564F">
        <w:trPr>
          <w:trHeight w:val="255"/>
        </w:trPr>
        <w:tc>
          <w:tcPr>
            <w:tcW w:w="3686"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p>
        </w:tc>
        <w:tc>
          <w:tcPr>
            <w:tcW w:w="880"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p>
        </w:tc>
        <w:tc>
          <w:tcPr>
            <w:tcW w:w="1417"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p>
        </w:tc>
        <w:tc>
          <w:tcPr>
            <w:tcW w:w="1418"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jc w:val="right"/>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jc w:val="right"/>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 xml:space="preserve">тыс. </w:t>
            </w:r>
          </w:p>
        </w:tc>
        <w:tc>
          <w:tcPr>
            <w:tcW w:w="850" w:type="dxa"/>
            <w:tcBorders>
              <w:top w:val="nil"/>
              <w:left w:val="nil"/>
              <w:bottom w:val="single" w:sz="4" w:space="0" w:color="auto"/>
              <w:right w:val="nil"/>
            </w:tcBorders>
            <w:shd w:val="clear" w:color="auto" w:fill="auto"/>
            <w:noWrap/>
            <w:vAlign w:val="bottom"/>
            <w:hideMark/>
          </w:tcPr>
          <w:p w:rsidR="0005564F" w:rsidRPr="0005564F" w:rsidRDefault="0005564F" w:rsidP="0005564F">
            <w:pPr>
              <w:spacing w:after="0" w:line="240" w:lineRule="auto"/>
              <w:jc w:val="right"/>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рублей</w:t>
            </w:r>
          </w:p>
        </w:tc>
      </w:tr>
      <w:tr w:rsidR="0005564F" w:rsidRPr="0005564F" w:rsidTr="0005564F">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 xml:space="preserve">Раздел </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proofErr w:type="spellStart"/>
            <w:r w:rsidRPr="0005564F">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План</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proofErr w:type="spellStart"/>
            <w:r w:rsidRPr="0005564F">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05564F" w:rsidRPr="0005564F" w:rsidTr="0005564F">
        <w:trPr>
          <w:trHeight w:val="61"/>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1 104 731,4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1 019 160,7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85 570,7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92,3%</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527 726,5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508 810,9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18 915,6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96,4%</w:t>
            </w:r>
          </w:p>
        </w:tc>
      </w:tr>
      <w:tr w:rsidR="0005564F" w:rsidRPr="0005564F" w:rsidTr="0005564F">
        <w:trPr>
          <w:trHeight w:val="677"/>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56 789,7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56 018,2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771,4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98,6%</w:t>
            </w:r>
          </w:p>
        </w:tc>
      </w:tr>
      <w:tr w:rsidR="0005564F" w:rsidRPr="0005564F" w:rsidTr="0005564F">
        <w:trPr>
          <w:trHeight w:val="59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6 015,4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6 003,9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99,8%</w:t>
            </w:r>
          </w:p>
        </w:tc>
      </w:tr>
      <w:tr w:rsidR="0005564F" w:rsidRPr="0005564F" w:rsidTr="0005564F">
        <w:trPr>
          <w:trHeight w:val="414"/>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461 091,9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443 593,4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17 498,5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96,2%</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639,5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5,4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634,1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0,8%</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3 190,0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3 190,0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100,0%</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28 907,7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28 887,5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20,2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99,9%</w:t>
            </w:r>
          </w:p>
        </w:tc>
      </w:tr>
      <w:tr w:rsidR="0005564F" w:rsidRPr="0005564F" w:rsidTr="0005564F">
        <w:trPr>
          <w:trHeight w:val="341"/>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02</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28 907,7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28 887,5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20,2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99,9%</w:t>
            </w:r>
          </w:p>
        </w:tc>
      </w:tr>
      <w:tr w:rsidR="0005564F" w:rsidRPr="0005564F" w:rsidTr="0005564F">
        <w:trPr>
          <w:trHeight w:val="148"/>
        </w:trPr>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8 617,9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8 609,8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8,1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99,9%</w:t>
            </w:r>
          </w:p>
        </w:tc>
      </w:tr>
      <w:tr w:rsidR="0005564F" w:rsidRPr="0005564F" w:rsidTr="0005564F">
        <w:trPr>
          <w:trHeight w:val="709"/>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Защита населения и территории от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03</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8 617,9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8 609,8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8,1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99,9%</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lastRenderedPageBreak/>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15 607,8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15 597,6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10,3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99,9%</w:t>
            </w:r>
          </w:p>
        </w:tc>
      </w:tr>
      <w:tr w:rsidR="0005564F" w:rsidRPr="0005564F" w:rsidTr="0005564F">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15 607,8</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15 597,6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10,3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99,9%</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b/>
                <w:bCs/>
                <w:color w:val="000000"/>
                <w:sz w:val="20"/>
                <w:szCs w:val="20"/>
                <w:lang w:eastAsia="ru-RU"/>
              </w:rPr>
            </w:pPr>
            <w:r w:rsidRPr="0005564F">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282 802,4</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253 077,0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29 725,4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89,5%</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12 846,5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10 609,6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2 236,9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82,6%</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8 127,2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4 731,4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3 395,8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58,2%</w:t>
            </w:r>
          </w:p>
        </w:tc>
      </w:tr>
      <w:tr w:rsidR="0005564F" w:rsidRPr="0005564F" w:rsidTr="0005564F">
        <w:trPr>
          <w:trHeight w:val="255"/>
        </w:trPr>
        <w:tc>
          <w:tcPr>
            <w:tcW w:w="3686" w:type="dxa"/>
            <w:tcBorders>
              <w:top w:val="single" w:sz="4" w:space="0" w:color="auto"/>
              <w:left w:val="single" w:sz="4" w:space="0" w:color="auto"/>
              <w:bottom w:val="single" w:sz="4" w:space="0" w:color="auto"/>
              <w:right w:val="nil"/>
            </w:tcBorders>
            <w:shd w:val="clear" w:color="auto" w:fill="auto"/>
            <w:noWrap/>
            <w:vAlign w:val="bottom"/>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05</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261 828,7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237 736,0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24 092,7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90,8%</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166 778,7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152 989,2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13 789,6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91,7%</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166 579,7</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152 790,2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13 789,6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91,7%</w:t>
            </w:r>
          </w:p>
        </w:tc>
      </w:tr>
      <w:tr w:rsidR="0005564F" w:rsidRPr="0005564F" w:rsidTr="0005564F">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Другие вопросы в области культуры, кинематографии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08</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199,0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199,0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100,0%</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39 965,5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39 960,4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100,0%</w:t>
            </w:r>
          </w:p>
        </w:tc>
      </w:tr>
      <w:tr w:rsidR="0005564F" w:rsidRPr="0005564F" w:rsidTr="0005564F">
        <w:trPr>
          <w:trHeight w:val="255"/>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01</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4 999,0</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4 999,0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100,0%</w:t>
            </w:r>
          </w:p>
        </w:tc>
      </w:tr>
      <w:tr w:rsidR="0005564F" w:rsidRPr="0005564F" w:rsidTr="0005564F">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11</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34 966,5</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34 961,4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100,0%</w:t>
            </w:r>
          </w:p>
        </w:tc>
      </w:tr>
      <w:tr w:rsidR="0005564F" w:rsidRPr="0005564F" w:rsidTr="0005564F">
        <w:trPr>
          <w:trHeight w:val="553"/>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Межбюджетные трансферты общего характера бюджетам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00</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34 324,9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11 228,3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23 096,6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b/>
                <w:bCs/>
                <w:sz w:val="20"/>
                <w:szCs w:val="20"/>
                <w:lang w:eastAsia="ru-RU"/>
              </w:rPr>
            </w:pPr>
            <w:r w:rsidRPr="0005564F">
              <w:rPr>
                <w:rFonts w:ascii="Times New Roman" w:eastAsia="Times New Roman" w:hAnsi="Times New Roman" w:cs="Times New Roman"/>
                <w:b/>
                <w:bCs/>
                <w:sz w:val="20"/>
                <w:szCs w:val="20"/>
                <w:lang w:eastAsia="ru-RU"/>
              </w:rPr>
              <w:t>32,7%</w:t>
            </w:r>
          </w:p>
        </w:tc>
      </w:tr>
      <w:tr w:rsidR="0005564F" w:rsidRPr="0005564F" w:rsidTr="0005564F">
        <w:trPr>
          <w:trHeight w:val="510"/>
        </w:trPr>
        <w:tc>
          <w:tcPr>
            <w:tcW w:w="3686" w:type="dxa"/>
            <w:tcBorders>
              <w:top w:val="single" w:sz="4" w:space="0" w:color="auto"/>
              <w:left w:val="single" w:sz="4" w:space="0" w:color="auto"/>
              <w:bottom w:val="single" w:sz="4" w:space="0" w:color="auto"/>
              <w:right w:val="single" w:sz="4" w:space="0" w:color="auto"/>
            </w:tcBorders>
            <w:shd w:val="clear" w:color="auto" w:fill="auto"/>
            <w:hideMark/>
          </w:tcPr>
          <w:p w:rsidR="0005564F" w:rsidRPr="0005564F" w:rsidRDefault="0005564F" w:rsidP="0005564F">
            <w:pPr>
              <w:spacing w:after="0" w:line="240" w:lineRule="auto"/>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Прочие межбюджетные трансферты общего характера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14</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03</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34 324,9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11 228,3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23 096,6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5564F" w:rsidRPr="0005564F" w:rsidRDefault="0005564F" w:rsidP="0005564F">
            <w:pPr>
              <w:spacing w:after="0" w:line="240" w:lineRule="auto"/>
              <w:jc w:val="center"/>
              <w:rPr>
                <w:rFonts w:ascii="Times New Roman" w:eastAsia="Times New Roman" w:hAnsi="Times New Roman" w:cs="Times New Roman"/>
                <w:sz w:val="20"/>
                <w:szCs w:val="20"/>
                <w:lang w:eastAsia="ru-RU"/>
              </w:rPr>
            </w:pPr>
            <w:r w:rsidRPr="0005564F">
              <w:rPr>
                <w:rFonts w:ascii="Times New Roman" w:eastAsia="Times New Roman" w:hAnsi="Times New Roman" w:cs="Times New Roman"/>
                <w:sz w:val="20"/>
                <w:szCs w:val="20"/>
                <w:lang w:eastAsia="ru-RU"/>
              </w:rPr>
              <w:t>32,7%</w:t>
            </w:r>
          </w:p>
        </w:tc>
      </w:tr>
    </w:tbl>
    <w:p w:rsidR="0005564F" w:rsidRDefault="0005564F" w:rsidP="00A05F1A">
      <w:pPr>
        <w:spacing w:after="0" w:line="360" w:lineRule="auto"/>
        <w:ind w:left="-567"/>
        <w:jc w:val="both"/>
        <w:rPr>
          <w:rFonts w:ascii="Times New Roman" w:hAnsi="Times New Roman" w:cs="Times New Roman"/>
          <w:b/>
          <w:sz w:val="24"/>
          <w:szCs w:val="24"/>
        </w:rPr>
      </w:pPr>
    </w:p>
    <w:p w:rsidR="0005564F" w:rsidRDefault="0005564F"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7312F3E3" wp14:editId="392345AC">
            <wp:extent cx="6570733" cy="3641416"/>
            <wp:effectExtent l="0" t="0" r="190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16CA0" w:rsidRDefault="00C16CA0">
      <w:pPr>
        <w:rPr>
          <w:rFonts w:ascii="Times New Roman" w:hAnsi="Times New Roman" w:cs="Times New Roman"/>
          <w:b/>
          <w:sz w:val="24"/>
          <w:szCs w:val="24"/>
        </w:rPr>
      </w:pPr>
      <w:r>
        <w:rPr>
          <w:rFonts w:ascii="Times New Roman" w:hAnsi="Times New Roman" w:cs="Times New Roman"/>
          <w:b/>
          <w:sz w:val="24"/>
          <w:szCs w:val="24"/>
        </w:rPr>
        <w:br w:type="page"/>
      </w:r>
    </w:p>
    <w:tbl>
      <w:tblPr>
        <w:tblW w:w="10348" w:type="dxa"/>
        <w:tblInd w:w="-459" w:type="dxa"/>
        <w:tblLook w:val="04A0" w:firstRow="1" w:lastRow="0" w:firstColumn="1" w:lastColumn="0" w:noHBand="0" w:noVBand="1"/>
      </w:tblPr>
      <w:tblGrid>
        <w:gridCol w:w="3544"/>
        <w:gridCol w:w="619"/>
        <w:gridCol w:w="2020"/>
        <w:gridCol w:w="1700"/>
        <w:gridCol w:w="1331"/>
        <w:gridCol w:w="1134"/>
      </w:tblGrid>
      <w:tr w:rsidR="007B745D" w:rsidRPr="007B745D" w:rsidTr="007B745D">
        <w:trPr>
          <w:trHeight w:val="255"/>
        </w:trPr>
        <w:tc>
          <w:tcPr>
            <w:tcW w:w="10348" w:type="dxa"/>
            <w:gridSpan w:val="6"/>
            <w:tcBorders>
              <w:top w:val="nil"/>
              <w:left w:val="nil"/>
              <w:bottom w:val="nil"/>
              <w:right w:val="nil"/>
            </w:tcBorders>
            <w:shd w:val="clear" w:color="auto" w:fill="auto"/>
            <w:noWrap/>
            <w:vAlign w:val="bottom"/>
            <w:hideMark/>
          </w:tcPr>
          <w:p w:rsidR="007B745D" w:rsidRPr="007B745D" w:rsidRDefault="007B745D" w:rsidP="007B745D">
            <w:pPr>
              <w:spacing w:after="0" w:line="240" w:lineRule="auto"/>
              <w:jc w:val="center"/>
              <w:rPr>
                <w:rFonts w:ascii="Times New Roman" w:eastAsia="Times New Roman" w:hAnsi="Times New Roman" w:cs="Times New Roman"/>
                <w:b/>
                <w:bCs/>
                <w:sz w:val="24"/>
                <w:szCs w:val="24"/>
                <w:lang w:eastAsia="ru-RU"/>
              </w:rPr>
            </w:pPr>
            <w:r w:rsidRPr="007B745D">
              <w:rPr>
                <w:rFonts w:ascii="Times New Roman" w:eastAsia="Times New Roman" w:hAnsi="Times New Roman" w:cs="Times New Roman"/>
                <w:b/>
                <w:bCs/>
                <w:sz w:val="24"/>
                <w:szCs w:val="24"/>
                <w:lang w:eastAsia="ru-RU"/>
              </w:rPr>
              <w:lastRenderedPageBreak/>
              <w:t>Расходы консолидированного бюджета за 2012 год по КОСГУ</w:t>
            </w:r>
          </w:p>
        </w:tc>
      </w:tr>
      <w:tr w:rsidR="007B745D" w:rsidRPr="007B745D" w:rsidTr="007B745D">
        <w:trPr>
          <w:trHeight w:val="255"/>
        </w:trPr>
        <w:tc>
          <w:tcPr>
            <w:tcW w:w="3544" w:type="dxa"/>
            <w:tcBorders>
              <w:top w:val="nil"/>
              <w:left w:val="nil"/>
              <w:bottom w:val="single" w:sz="4" w:space="0" w:color="auto"/>
              <w:right w:val="nil"/>
            </w:tcBorders>
            <w:shd w:val="clear" w:color="auto" w:fill="auto"/>
            <w:noWrap/>
            <w:vAlign w:val="bottom"/>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p>
        </w:tc>
        <w:tc>
          <w:tcPr>
            <w:tcW w:w="619" w:type="dxa"/>
            <w:tcBorders>
              <w:top w:val="nil"/>
              <w:left w:val="nil"/>
              <w:bottom w:val="single" w:sz="4" w:space="0" w:color="auto"/>
              <w:right w:val="nil"/>
            </w:tcBorders>
            <w:shd w:val="clear" w:color="auto" w:fill="auto"/>
            <w:noWrap/>
            <w:vAlign w:val="bottom"/>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p>
        </w:tc>
        <w:tc>
          <w:tcPr>
            <w:tcW w:w="2020" w:type="dxa"/>
            <w:tcBorders>
              <w:top w:val="nil"/>
              <w:left w:val="nil"/>
              <w:bottom w:val="single" w:sz="4" w:space="0" w:color="auto"/>
              <w:right w:val="nil"/>
            </w:tcBorders>
            <w:shd w:val="clear" w:color="auto" w:fill="auto"/>
            <w:noWrap/>
            <w:vAlign w:val="bottom"/>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p>
        </w:tc>
        <w:tc>
          <w:tcPr>
            <w:tcW w:w="1700" w:type="dxa"/>
            <w:tcBorders>
              <w:top w:val="nil"/>
              <w:left w:val="nil"/>
              <w:bottom w:val="single" w:sz="4" w:space="0" w:color="auto"/>
              <w:right w:val="nil"/>
            </w:tcBorders>
            <w:shd w:val="clear" w:color="auto" w:fill="auto"/>
            <w:noWrap/>
            <w:vAlign w:val="bottom"/>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ед. изм.</w:t>
            </w:r>
          </w:p>
        </w:tc>
        <w:tc>
          <w:tcPr>
            <w:tcW w:w="1331" w:type="dxa"/>
            <w:tcBorders>
              <w:top w:val="nil"/>
              <w:left w:val="nil"/>
              <w:bottom w:val="single" w:sz="4" w:space="0" w:color="auto"/>
              <w:right w:val="nil"/>
            </w:tcBorders>
            <w:shd w:val="clear" w:color="auto" w:fill="auto"/>
            <w:noWrap/>
            <w:vAlign w:val="bottom"/>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тыс. рублей</w:t>
            </w:r>
          </w:p>
        </w:tc>
        <w:tc>
          <w:tcPr>
            <w:tcW w:w="1134" w:type="dxa"/>
            <w:tcBorders>
              <w:top w:val="nil"/>
              <w:left w:val="nil"/>
              <w:bottom w:val="single" w:sz="4" w:space="0" w:color="auto"/>
              <w:right w:val="nil"/>
            </w:tcBorders>
            <w:shd w:val="clear" w:color="auto" w:fill="auto"/>
            <w:noWrap/>
            <w:vAlign w:val="bottom"/>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p>
        </w:tc>
      </w:tr>
      <w:tr w:rsidR="007B745D" w:rsidRPr="007B745D" w:rsidTr="007B745D">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Наименование по БК</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ЭКР</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План</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Факт</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proofErr w:type="spellStart"/>
            <w:r w:rsidRPr="007B745D">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7B745D" w:rsidRPr="007B745D" w:rsidTr="007B745D">
        <w:trPr>
          <w:trHeight w:val="7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Всего расходов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000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80 623 682,4</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77 531 881,5</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3 091 800,9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96,2%</w:t>
            </w:r>
          </w:p>
        </w:tc>
      </w:tr>
      <w:tr w:rsidR="007B745D" w:rsidRPr="007B745D" w:rsidTr="007B745D">
        <w:trPr>
          <w:trHeight w:val="9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200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52 201 394,5</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49 602 799,5</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2 598 594,9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95,0%</w:t>
            </w:r>
          </w:p>
        </w:tc>
      </w:tr>
      <w:tr w:rsidR="007B745D" w:rsidRPr="007B745D" w:rsidTr="007B745D">
        <w:trPr>
          <w:trHeight w:val="307"/>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Оплата труда и 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210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4 998 817,3</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4 886 965,6</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111 851,7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97,8%</w:t>
            </w:r>
          </w:p>
        </w:tc>
      </w:tr>
      <w:tr w:rsidR="007B745D" w:rsidRPr="007B745D" w:rsidTr="007B745D">
        <w:trPr>
          <w:trHeight w:val="116"/>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Заработная плата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211</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3 840 778,8</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3 771 186,0</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69 592,8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98,2%</w:t>
            </w:r>
          </w:p>
        </w:tc>
      </w:tr>
      <w:tr w:rsidR="007B745D" w:rsidRPr="007B745D" w:rsidTr="007B745D">
        <w:trPr>
          <w:trHeight w:val="1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Прочие выплаты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212</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37 610,6</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25 744,7</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11 865,9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68,5%</w:t>
            </w:r>
          </w:p>
        </w:tc>
      </w:tr>
      <w:tr w:rsidR="007B745D" w:rsidRPr="007B745D" w:rsidTr="007B745D">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213</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1 120 427,9</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1 090 034,9</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30 393,0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97,3%</w:t>
            </w:r>
          </w:p>
        </w:tc>
      </w:tr>
      <w:tr w:rsidR="007B745D" w:rsidRPr="007B745D" w:rsidTr="007B745D">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Приобретение услуг</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220</w:t>
            </w:r>
          </w:p>
        </w:tc>
        <w:tc>
          <w:tcPr>
            <w:tcW w:w="202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10 132 749,2</w:t>
            </w:r>
          </w:p>
        </w:tc>
        <w:tc>
          <w:tcPr>
            <w:tcW w:w="170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8 889 269,8</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1 243 479,4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87,7%</w:t>
            </w:r>
          </w:p>
        </w:tc>
      </w:tr>
      <w:tr w:rsidR="007B745D" w:rsidRPr="007B745D" w:rsidTr="007B745D">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Услуги связи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221</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475 001,3</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467 482,6</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7 518,6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98,4%</w:t>
            </w:r>
          </w:p>
        </w:tc>
      </w:tr>
      <w:tr w:rsidR="007B745D" w:rsidRPr="007B745D" w:rsidTr="007B745D">
        <w:trPr>
          <w:trHeight w:val="9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 xml:space="preserve">Транспортные услуги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222</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121 182,6</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118 242,1</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2 940,4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97,6%</w:t>
            </w:r>
          </w:p>
        </w:tc>
      </w:tr>
      <w:tr w:rsidR="007B745D" w:rsidRPr="007B745D" w:rsidTr="007B745D">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Коммунальные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223</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233 762,8</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201 770,8</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31 992,0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86,3%</w:t>
            </w:r>
          </w:p>
        </w:tc>
      </w:tr>
      <w:tr w:rsidR="007B745D" w:rsidRPr="007B745D" w:rsidTr="007B745D">
        <w:trPr>
          <w:trHeight w:val="31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Арендная плата за пользование имуществом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224</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87 288,9</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85 831,8</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98,3%</w:t>
            </w:r>
          </w:p>
        </w:tc>
      </w:tr>
      <w:tr w:rsidR="007B745D" w:rsidRPr="007B745D" w:rsidTr="007B745D">
        <w:trPr>
          <w:trHeight w:val="6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Услуги по содержанию имущества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225</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4 209 992,6</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3 996 639,8</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213 352,7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94,9%</w:t>
            </w:r>
          </w:p>
        </w:tc>
      </w:tr>
      <w:tr w:rsidR="007B745D" w:rsidRPr="007B745D" w:rsidTr="007B745D">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Прочие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226</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5 005 521,1</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4 019 302,7</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986 218,5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80,3%</w:t>
            </w:r>
          </w:p>
        </w:tc>
      </w:tr>
      <w:tr w:rsidR="007B745D" w:rsidRPr="007B745D" w:rsidTr="007B745D">
        <w:trPr>
          <w:trHeight w:val="383"/>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Обслуживание государственного (муниципального)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230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177 793,2</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153 398,9</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24 394,3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86,3%</w:t>
            </w:r>
          </w:p>
        </w:tc>
      </w:tr>
      <w:tr w:rsidR="007B745D" w:rsidRPr="007B745D" w:rsidTr="007B745D">
        <w:trPr>
          <w:trHeight w:val="136"/>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Обслуживание внутреннего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231</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177 793,2</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153 398,9</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24 394,3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86,3%</w:t>
            </w:r>
          </w:p>
        </w:tc>
      </w:tr>
      <w:tr w:rsidR="007B745D" w:rsidRPr="007B745D" w:rsidTr="007B745D">
        <w:trPr>
          <w:trHeight w:val="15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Безвозмездные и безвозвратные перечисления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240</w:t>
            </w:r>
          </w:p>
        </w:tc>
        <w:tc>
          <w:tcPr>
            <w:tcW w:w="202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22 105 496,2</w:t>
            </w:r>
          </w:p>
        </w:tc>
        <w:tc>
          <w:tcPr>
            <w:tcW w:w="170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21 422 161,1</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683 335,2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96,9%</w:t>
            </w:r>
          </w:p>
        </w:tc>
      </w:tr>
      <w:tr w:rsidR="007B745D" w:rsidRPr="007B745D" w:rsidTr="007B745D">
        <w:trPr>
          <w:trHeight w:val="44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Безвозмездные и безвозвратные перечисления государственным и муниципальным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241</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17 765 378,8</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17 171 030,3</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594 348,5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96,7%</w:t>
            </w:r>
          </w:p>
        </w:tc>
      </w:tr>
      <w:tr w:rsidR="007B745D" w:rsidRPr="007B745D" w:rsidTr="007B745D">
        <w:trPr>
          <w:trHeight w:val="6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 xml:space="preserve">Безвозмездные и безвозвратные перечисления организациям, за исключением государственных и муниципальных организаций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242</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4 340 117,4</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4 251 130,8</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88 986,7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97,9%</w:t>
            </w:r>
          </w:p>
        </w:tc>
      </w:tr>
      <w:tr w:rsidR="007B745D" w:rsidRPr="007B745D" w:rsidTr="007B745D">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Безвозмездные и безвозвратные перечисления бюджетам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250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223 086,0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181 158,5</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41 927,5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81,2%</w:t>
            </w:r>
          </w:p>
        </w:tc>
      </w:tr>
      <w:tr w:rsidR="007B745D" w:rsidRPr="007B745D" w:rsidTr="007B745D">
        <w:trPr>
          <w:trHeight w:val="349"/>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Перечисления другим бюджетам бюджетной системы Российской Федерации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251</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223 086,0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181 158,5</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41 927,5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81,2%</w:t>
            </w:r>
          </w:p>
        </w:tc>
      </w:tr>
      <w:tr w:rsidR="007B745D" w:rsidRPr="007B745D" w:rsidTr="007B745D">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Социальное обеспечение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260</w:t>
            </w:r>
          </w:p>
        </w:tc>
        <w:tc>
          <w:tcPr>
            <w:tcW w:w="202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13 989 746,9</w:t>
            </w:r>
          </w:p>
        </w:tc>
        <w:tc>
          <w:tcPr>
            <w:tcW w:w="170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13 677 944,6</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311 802,2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97,8%</w:t>
            </w:r>
          </w:p>
        </w:tc>
      </w:tr>
      <w:tr w:rsidR="007B745D" w:rsidRPr="007B745D" w:rsidTr="007B745D">
        <w:trPr>
          <w:trHeight w:val="647"/>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Пенсии, пособия и выплаты по пенсионному, социальному и медицинскому страхованию населения</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261</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12 367,0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8 106,4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4 260,6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65,5%</w:t>
            </w:r>
          </w:p>
        </w:tc>
      </w:tr>
      <w:tr w:rsidR="007B745D" w:rsidRPr="007B745D" w:rsidTr="007B745D">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Пособия по социальной помощи населению</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262</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13 775 255,0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13 474 025,8</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301 229,1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97,8%</w:t>
            </w:r>
          </w:p>
        </w:tc>
      </w:tr>
      <w:tr w:rsidR="007B745D" w:rsidRPr="007B745D" w:rsidTr="007B745D">
        <w:trPr>
          <w:trHeight w:val="38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Пенсии, пособия, выплачиваемые организациями сектора государственного управления</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263</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202 124,9</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195 812,4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6 312,5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96,9%</w:t>
            </w:r>
          </w:p>
        </w:tc>
      </w:tr>
      <w:tr w:rsidR="007B745D" w:rsidRPr="007B745D" w:rsidTr="007B745D">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Прочие 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290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573 705,7</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391 901,0</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181 804,7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68,3%</w:t>
            </w:r>
          </w:p>
        </w:tc>
      </w:tr>
      <w:tr w:rsidR="007B745D" w:rsidRPr="007B745D" w:rsidTr="007B745D">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Поступление нефинансовых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300</w:t>
            </w:r>
          </w:p>
        </w:tc>
        <w:tc>
          <w:tcPr>
            <w:tcW w:w="202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28 035 556,5</w:t>
            </w:r>
          </w:p>
        </w:tc>
        <w:tc>
          <w:tcPr>
            <w:tcW w:w="1700" w:type="dxa"/>
            <w:tcBorders>
              <w:top w:val="single" w:sz="4" w:space="0" w:color="auto"/>
              <w:left w:val="nil"/>
              <w:bottom w:val="single" w:sz="4" w:space="0" w:color="auto"/>
              <w:right w:val="single" w:sz="4" w:space="0" w:color="auto"/>
            </w:tcBorders>
            <w:shd w:val="clear" w:color="auto" w:fill="auto"/>
            <w:noWrap/>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27 547 350,5</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488 205,9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98,3%</w:t>
            </w:r>
          </w:p>
        </w:tc>
      </w:tr>
      <w:tr w:rsidR="007B745D" w:rsidRPr="007B745D" w:rsidTr="007B745D">
        <w:trPr>
          <w:trHeight w:val="30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Увеличение стоимости основных средств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310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26 555 062,0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26 085 264,1</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469 798,0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98,2%</w:t>
            </w:r>
          </w:p>
        </w:tc>
      </w:tr>
      <w:tr w:rsidR="007B745D" w:rsidRPr="007B745D" w:rsidTr="007B745D">
        <w:trPr>
          <w:trHeight w:val="3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Увеличение стоимости нематериальных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320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1 068,0</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0,0</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1 068,0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0,0%</w:t>
            </w:r>
          </w:p>
        </w:tc>
      </w:tr>
      <w:tr w:rsidR="007B745D" w:rsidRPr="007B745D" w:rsidTr="007B745D">
        <w:trPr>
          <w:trHeight w:val="118"/>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Увеличение стоимости непроизведенных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330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93 439,5</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93 439,5</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100,0%</w:t>
            </w:r>
          </w:p>
        </w:tc>
      </w:tr>
      <w:tr w:rsidR="007B745D" w:rsidRPr="007B745D" w:rsidTr="007B745D">
        <w:trPr>
          <w:trHeight w:val="223"/>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Увеличение стоимости материальных запасов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340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1 385 986,9</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1 368 646,9</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17 340,0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98,7%</w:t>
            </w:r>
          </w:p>
        </w:tc>
      </w:tr>
      <w:tr w:rsidR="007B745D" w:rsidRPr="007B745D" w:rsidTr="007B745D">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Поступление 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500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386 731,4</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381 731,4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5 000,0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b/>
                <w:bCs/>
                <w:sz w:val="20"/>
                <w:szCs w:val="20"/>
                <w:lang w:eastAsia="ru-RU"/>
              </w:rPr>
            </w:pPr>
            <w:r w:rsidRPr="007B745D">
              <w:rPr>
                <w:rFonts w:ascii="Times New Roman" w:eastAsia="Times New Roman" w:hAnsi="Times New Roman" w:cs="Times New Roman"/>
                <w:b/>
                <w:bCs/>
                <w:sz w:val="20"/>
                <w:szCs w:val="20"/>
                <w:lang w:eastAsia="ru-RU"/>
              </w:rPr>
              <w:t>98,7%</w:t>
            </w:r>
          </w:p>
        </w:tc>
      </w:tr>
      <w:tr w:rsidR="007B745D" w:rsidRPr="007B745D" w:rsidTr="007B745D">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Увеличение стоимости акций и иных форм участия в капитале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530</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386 731,4</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381 731,4</w:t>
            </w:r>
          </w:p>
        </w:tc>
        <w:tc>
          <w:tcPr>
            <w:tcW w:w="1331"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5 000,0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7B745D" w:rsidRPr="007B745D" w:rsidRDefault="007B745D" w:rsidP="007B745D">
            <w:pPr>
              <w:spacing w:after="0" w:line="240" w:lineRule="auto"/>
              <w:jc w:val="center"/>
              <w:rPr>
                <w:rFonts w:ascii="Times New Roman" w:eastAsia="Times New Roman" w:hAnsi="Times New Roman" w:cs="Times New Roman"/>
                <w:sz w:val="20"/>
                <w:szCs w:val="20"/>
                <w:lang w:eastAsia="ru-RU"/>
              </w:rPr>
            </w:pPr>
            <w:r w:rsidRPr="007B745D">
              <w:rPr>
                <w:rFonts w:ascii="Times New Roman" w:eastAsia="Times New Roman" w:hAnsi="Times New Roman" w:cs="Times New Roman"/>
                <w:sz w:val="20"/>
                <w:szCs w:val="20"/>
                <w:lang w:eastAsia="ru-RU"/>
              </w:rPr>
              <w:t>98,7%</w:t>
            </w:r>
          </w:p>
        </w:tc>
      </w:tr>
    </w:tbl>
    <w:p w:rsidR="0005564F" w:rsidRDefault="007B745D" w:rsidP="00A05F1A">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1934BB37" wp14:editId="16FEFDC2">
            <wp:extent cx="6522181" cy="404601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A472B" w:rsidRDefault="008A472B" w:rsidP="00A05F1A">
      <w:pPr>
        <w:spacing w:after="0" w:line="360" w:lineRule="auto"/>
        <w:ind w:left="-567"/>
        <w:jc w:val="both"/>
        <w:rPr>
          <w:rFonts w:ascii="Times New Roman" w:hAnsi="Times New Roman" w:cs="Times New Roman"/>
          <w:b/>
          <w:sz w:val="24"/>
          <w:szCs w:val="24"/>
        </w:rPr>
      </w:pPr>
    </w:p>
    <w:p w:rsidR="008A472B" w:rsidRDefault="008A472B"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544"/>
        <w:gridCol w:w="619"/>
        <w:gridCol w:w="2074"/>
        <w:gridCol w:w="1701"/>
        <w:gridCol w:w="1276"/>
        <w:gridCol w:w="1134"/>
      </w:tblGrid>
      <w:tr w:rsidR="000B1C2A" w:rsidRPr="000B1C2A" w:rsidTr="000B1C2A">
        <w:trPr>
          <w:trHeight w:val="255"/>
        </w:trPr>
        <w:tc>
          <w:tcPr>
            <w:tcW w:w="10348" w:type="dxa"/>
            <w:gridSpan w:val="6"/>
            <w:tcBorders>
              <w:top w:val="nil"/>
              <w:left w:val="nil"/>
              <w:bottom w:val="nil"/>
              <w:right w:val="nil"/>
            </w:tcBorders>
            <w:shd w:val="clear" w:color="auto" w:fill="auto"/>
            <w:noWrap/>
            <w:vAlign w:val="bottom"/>
            <w:hideMark/>
          </w:tcPr>
          <w:p w:rsidR="000B1C2A" w:rsidRPr="000B1C2A" w:rsidRDefault="000B1C2A" w:rsidP="000B1C2A">
            <w:pPr>
              <w:spacing w:after="0" w:line="240" w:lineRule="auto"/>
              <w:jc w:val="center"/>
              <w:rPr>
                <w:rFonts w:ascii="Times New Roman" w:eastAsia="Times New Roman" w:hAnsi="Times New Roman" w:cs="Times New Roman"/>
                <w:b/>
                <w:bCs/>
                <w:sz w:val="24"/>
                <w:szCs w:val="24"/>
                <w:lang w:eastAsia="ru-RU"/>
              </w:rPr>
            </w:pPr>
            <w:r w:rsidRPr="000B1C2A">
              <w:rPr>
                <w:rFonts w:ascii="Times New Roman" w:eastAsia="Times New Roman" w:hAnsi="Times New Roman" w:cs="Times New Roman"/>
                <w:b/>
                <w:bCs/>
                <w:sz w:val="24"/>
                <w:szCs w:val="24"/>
                <w:lang w:eastAsia="ru-RU"/>
              </w:rPr>
              <w:t>Расходы республиканского бюджета за 2012 год по КОСГУ</w:t>
            </w:r>
          </w:p>
        </w:tc>
      </w:tr>
      <w:tr w:rsidR="000B1C2A" w:rsidRPr="000B1C2A" w:rsidTr="000B1C2A">
        <w:trPr>
          <w:trHeight w:val="255"/>
        </w:trPr>
        <w:tc>
          <w:tcPr>
            <w:tcW w:w="3544" w:type="dxa"/>
            <w:tcBorders>
              <w:top w:val="nil"/>
              <w:left w:val="nil"/>
              <w:bottom w:val="single" w:sz="4" w:space="0" w:color="auto"/>
              <w:right w:val="nil"/>
            </w:tcBorders>
            <w:shd w:val="clear" w:color="auto" w:fill="auto"/>
            <w:noWrap/>
            <w:vAlign w:val="bottom"/>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p>
        </w:tc>
        <w:tc>
          <w:tcPr>
            <w:tcW w:w="619" w:type="dxa"/>
            <w:tcBorders>
              <w:top w:val="nil"/>
              <w:left w:val="nil"/>
              <w:bottom w:val="single" w:sz="4" w:space="0" w:color="auto"/>
              <w:right w:val="nil"/>
            </w:tcBorders>
            <w:shd w:val="clear" w:color="auto" w:fill="auto"/>
            <w:noWrap/>
            <w:vAlign w:val="bottom"/>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p>
        </w:tc>
        <w:tc>
          <w:tcPr>
            <w:tcW w:w="2074" w:type="dxa"/>
            <w:tcBorders>
              <w:top w:val="nil"/>
              <w:left w:val="nil"/>
              <w:bottom w:val="single" w:sz="4" w:space="0" w:color="auto"/>
              <w:right w:val="nil"/>
            </w:tcBorders>
            <w:shd w:val="clear" w:color="auto" w:fill="auto"/>
            <w:noWrap/>
            <w:vAlign w:val="bottom"/>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p>
        </w:tc>
        <w:tc>
          <w:tcPr>
            <w:tcW w:w="1701" w:type="dxa"/>
            <w:tcBorders>
              <w:top w:val="nil"/>
              <w:left w:val="nil"/>
              <w:bottom w:val="single" w:sz="4" w:space="0" w:color="auto"/>
              <w:right w:val="nil"/>
            </w:tcBorders>
            <w:shd w:val="clear" w:color="auto" w:fill="auto"/>
            <w:noWrap/>
            <w:vAlign w:val="bottom"/>
            <w:hideMark/>
          </w:tcPr>
          <w:p w:rsidR="000B1C2A" w:rsidRPr="000B1C2A" w:rsidRDefault="000B1C2A" w:rsidP="000B1C2A">
            <w:pPr>
              <w:spacing w:after="0" w:line="240" w:lineRule="auto"/>
              <w:jc w:val="right"/>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0B1C2A" w:rsidRPr="000B1C2A" w:rsidRDefault="000B1C2A" w:rsidP="000B1C2A">
            <w:pPr>
              <w:spacing w:after="0" w:line="240" w:lineRule="auto"/>
              <w:jc w:val="right"/>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 xml:space="preserve">тыс. </w:t>
            </w:r>
          </w:p>
        </w:tc>
        <w:tc>
          <w:tcPr>
            <w:tcW w:w="1134" w:type="dxa"/>
            <w:tcBorders>
              <w:top w:val="nil"/>
              <w:left w:val="nil"/>
              <w:bottom w:val="single" w:sz="4" w:space="0" w:color="auto"/>
              <w:right w:val="nil"/>
            </w:tcBorders>
            <w:shd w:val="clear" w:color="auto" w:fill="auto"/>
            <w:noWrap/>
            <w:vAlign w:val="bottom"/>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b/>
                <w:bCs/>
                <w:sz w:val="20"/>
                <w:szCs w:val="20"/>
                <w:lang w:eastAsia="ru-RU"/>
              </w:rPr>
              <w:t>рублей</w:t>
            </w:r>
          </w:p>
        </w:tc>
      </w:tr>
      <w:tr w:rsidR="000B1C2A" w:rsidRPr="000B1C2A" w:rsidTr="000B1C2A">
        <w:trPr>
          <w:trHeight w:val="76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Наименование по БК</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ЭКР</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План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proofErr w:type="spellStart"/>
            <w:r w:rsidRPr="000B1C2A">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Исп.</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Всего расходов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000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76 272 974,5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73 547 401,7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2 725 572,8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96,4%</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51 158 758,2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48 821 096,4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2 337 661,8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95,4%</w:t>
            </w:r>
          </w:p>
        </w:tc>
      </w:tr>
      <w:tr w:rsidR="000B1C2A" w:rsidRPr="000B1C2A" w:rsidTr="000B1C2A">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Оплата труда и 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2 900 520,8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2 811 286,8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89 234,0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96,9%</w:t>
            </w:r>
          </w:p>
        </w:tc>
      </w:tr>
      <w:tr w:rsidR="000B1C2A" w:rsidRPr="000B1C2A" w:rsidTr="000B1C2A">
        <w:trPr>
          <w:trHeight w:val="126"/>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Заработная плата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211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2 238 532,5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2 179 459,4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59 073,1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97,4%</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Прочие выплаты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212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25 750,0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21 086,7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4 663,3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81,9%</w:t>
            </w:r>
          </w:p>
        </w:tc>
      </w:tr>
      <w:tr w:rsidR="000B1C2A" w:rsidRPr="000B1C2A" w:rsidTr="000B1C2A">
        <w:trPr>
          <w:trHeight w:val="7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213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636 238,4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610 740,7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25 497,6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96,0%</w:t>
            </w:r>
          </w:p>
        </w:tc>
      </w:tr>
      <w:tr w:rsidR="000B1C2A" w:rsidRPr="000B1C2A" w:rsidTr="000B1C2A">
        <w:trPr>
          <w:trHeight w:val="12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Приобретение услуг</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220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7 364 696,6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6 284 879,7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1 079 817,0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85,3%</w:t>
            </w:r>
          </w:p>
        </w:tc>
      </w:tr>
      <w:tr w:rsidR="000B1C2A" w:rsidRPr="000B1C2A" w:rsidTr="000B1C2A">
        <w:trPr>
          <w:trHeight w:val="15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Услуги связи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408 240,6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401 842,7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6 397,9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98,4%</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 xml:space="preserve">Транспортные услуги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110 674,1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108 388,1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2 286,0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97,9%</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Коммунальные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72 483,3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67 122,2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5 361,1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92,6%</w:t>
            </w:r>
          </w:p>
        </w:tc>
      </w:tr>
      <w:tr w:rsidR="000B1C2A" w:rsidRPr="000B1C2A" w:rsidTr="000B1C2A">
        <w:trPr>
          <w:trHeight w:val="149"/>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Арендная плата за пользование имуществом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224</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65 418,4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64 425,5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98,5%</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Услуги по содержанию имущества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225</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2 530 380,9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2 385 265,7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145 115,2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94,3%</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Прочие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226</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4 177 499,3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3 257 835,4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919 663,9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78,0%</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Обслуживание государственного (муниципального)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230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166 925,0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142 530,7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24 394,3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85,4%</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Обслуживание внутреннего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231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166 925,0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142 530,7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24 394,3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85,4%</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Безвозмездные и безвозвратные перечисления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240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11 166 310,7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10 573 228,4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593 082,2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94,7%</w:t>
            </w:r>
          </w:p>
        </w:tc>
      </w:tr>
      <w:tr w:rsidR="000B1C2A" w:rsidRPr="000B1C2A" w:rsidTr="000B1C2A">
        <w:trPr>
          <w:trHeight w:val="279"/>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Безвозмездные и безвозвратные перечисления государственным и муниципальным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241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6 860 020,1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6 355 827,8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504 192,3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92,7%</w:t>
            </w:r>
          </w:p>
        </w:tc>
      </w:tr>
      <w:tr w:rsidR="000B1C2A" w:rsidRPr="000B1C2A" w:rsidTr="000B1C2A">
        <w:trPr>
          <w:trHeight w:val="5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lastRenderedPageBreak/>
              <w:t xml:space="preserve">Безвозмездные и безвозвратные перечисления организациям, за исключением государственных и муниципальных организаций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242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4 306 290,5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4 217 400,6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88 889,9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97,9%</w:t>
            </w:r>
          </w:p>
        </w:tc>
      </w:tr>
      <w:tr w:rsidR="000B1C2A" w:rsidRPr="000B1C2A" w:rsidTr="000B1C2A">
        <w:trPr>
          <w:trHeight w:val="342"/>
        </w:trPr>
        <w:tc>
          <w:tcPr>
            <w:tcW w:w="3544" w:type="dxa"/>
            <w:tcBorders>
              <w:top w:val="single" w:sz="4" w:space="0" w:color="auto"/>
              <w:left w:val="single" w:sz="4" w:space="0" w:color="auto"/>
              <w:bottom w:val="single" w:sz="4" w:space="0" w:color="auto"/>
              <w:right w:val="single" w:sz="4" w:space="0" w:color="auto"/>
            </w:tcBorders>
            <w:shd w:val="clear" w:color="auto" w:fill="auto"/>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Безвозмездные и безвозвратные перечисления бюджетам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250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18 985 160,1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18 757 974,3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227 185,7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98,8%</w:t>
            </w:r>
          </w:p>
        </w:tc>
      </w:tr>
      <w:tr w:rsidR="000B1C2A" w:rsidRPr="000B1C2A" w:rsidTr="000B1C2A">
        <w:trPr>
          <w:trHeight w:val="150"/>
        </w:trPr>
        <w:tc>
          <w:tcPr>
            <w:tcW w:w="3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Перечисления другим бюджетам бюджетной системы Российской Федерации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251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18 985 160,1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18 757 974,3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227 185,7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98,8%</w:t>
            </w:r>
          </w:p>
        </w:tc>
      </w:tr>
      <w:tr w:rsidR="000B1C2A" w:rsidRPr="000B1C2A" w:rsidTr="000B1C2A">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Социальное обеспечение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260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10 110 714,7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9 928 870,2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181 844,5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98,2%</w:t>
            </w:r>
          </w:p>
        </w:tc>
      </w:tr>
      <w:tr w:rsidR="000B1C2A" w:rsidRPr="000B1C2A" w:rsidTr="000B1C2A">
        <w:trPr>
          <w:trHeight w:val="178"/>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Пособия по социальной помощи населению</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262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9 909 087,1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9 733 511,4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175 575,7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98,2%</w:t>
            </w:r>
          </w:p>
        </w:tc>
      </w:tr>
      <w:tr w:rsidR="000B1C2A" w:rsidRPr="000B1C2A" w:rsidTr="000B1C2A">
        <w:trPr>
          <w:trHeight w:val="339"/>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Пенсии, пособия, выплачиваемые организациями сектора государственного управления</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263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201 627,6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195 358,8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6 268,8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96,9%</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Прочие 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290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464 430,3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322 326,1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142 104,2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69,4%</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Поступление нефинансовых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300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24 730 484,8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24 347 573,9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382 911,0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98,5%</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Увеличение стоимости основных средств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23 605 827,9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23 235 340,0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370 487,9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98,4%</w:t>
            </w:r>
          </w:p>
        </w:tc>
      </w:tr>
      <w:tr w:rsidR="000B1C2A" w:rsidRPr="000B1C2A" w:rsidTr="000B1C2A">
        <w:trPr>
          <w:trHeight w:val="98"/>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Увеличение стоимости нематериальных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320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1 068,0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1 068,0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0,0%</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Увеличение стоимости непроизводственных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330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93 439,5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93 439,5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100,0%</w:t>
            </w:r>
          </w:p>
        </w:tc>
      </w:tr>
      <w:tr w:rsidR="000B1C2A" w:rsidRPr="000B1C2A" w:rsidTr="000B1C2A">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Увеличение стоимости материальных запасов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340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1 030 149,4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1 018 794,4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11 355,1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98,9%</w:t>
            </w:r>
          </w:p>
        </w:tc>
      </w:tr>
      <w:tr w:rsidR="000B1C2A" w:rsidRPr="000B1C2A" w:rsidTr="000B1C2A">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Поступление 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500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383 731,4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378 731,4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5 000,0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b/>
                <w:bCs/>
                <w:sz w:val="20"/>
                <w:szCs w:val="20"/>
                <w:lang w:eastAsia="ru-RU"/>
              </w:rPr>
            </w:pPr>
            <w:r w:rsidRPr="000B1C2A">
              <w:rPr>
                <w:rFonts w:ascii="Times New Roman" w:eastAsia="Times New Roman" w:hAnsi="Times New Roman" w:cs="Times New Roman"/>
                <w:b/>
                <w:bCs/>
                <w:sz w:val="20"/>
                <w:szCs w:val="20"/>
                <w:lang w:eastAsia="ru-RU"/>
              </w:rPr>
              <w:t>98,7%</w:t>
            </w:r>
          </w:p>
        </w:tc>
      </w:tr>
      <w:tr w:rsidR="000B1C2A" w:rsidRPr="000B1C2A" w:rsidTr="000B1C2A">
        <w:trPr>
          <w:trHeight w:val="12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Увеличение стоимости акций и иных форм участия в капитале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530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383 731,4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378 731,4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5 000,0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B1C2A" w:rsidRPr="000B1C2A" w:rsidRDefault="000B1C2A" w:rsidP="000B1C2A">
            <w:pPr>
              <w:spacing w:after="0" w:line="240" w:lineRule="auto"/>
              <w:jc w:val="center"/>
              <w:rPr>
                <w:rFonts w:ascii="Times New Roman" w:eastAsia="Times New Roman" w:hAnsi="Times New Roman" w:cs="Times New Roman"/>
                <w:sz w:val="20"/>
                <w:szCs w:val="20"/>
                <w:lang w:eastAsia="ru-RU"/>
              </w:rPr>
            </w:pPr>
            <w:r w:rsidRPr="000B1C2A">
              <w:rPr>
                <w:rFonts w:ascii="Times New Roman" w:eastAsia="Times New Roman" w:hAnsi="Times New Roman" w:cs="Times New Roman"/>
                <w:sz w:val="20"/>
                <w:szCs w:val="20"/>
                <w:lang w:eastAsia="ru-RU"/>
              </w:rPr>
              <w:t>98,7%</w:t>
            </w:r>
          </w:p>
        </w:tc>
      </w:tr>
    </w:tbl>
    <w:p w:rsidR="000B1C2A" w:rsidRDefault="000B1C2A" w:rsidP="00A05F1A">
      <w:pPr>
        <w:spacing w:after="0" w:line="360" w:lineRule="auto"/>
        <w:ind w:left="-567"/>
        <w:jc w:val="both"/>
        <w:rPr>
          <w:rFonts w:ascii="Times New Roman" w:hAnsi="Times New Roman" w:cs="Times New Roman"/>
          <w:b/>
          <w:sz w:val="24"/>
          <w:szCs w:val="24"/>
        </w:rPr>
      </w:pPr>
    </w:p>
    <w:p w:rsidR="000B1C2A" w:rsidRDefault="000B1C2A"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4F59A79C" wp14:editId="3D7FE4FD">
            <wp:extent cx="6384616" cy="4215951"/>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0B1C2A" w:rsidRDefault="000B1C2A"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544"/>
        <w:gridCol w:w="619"/>
        <w:gridCol w:w="2074"/>
        <w:gridCol w:w="1701"/>
        <w:gridCol w:w="1276"/>
        <w:gridCol w:w="1134"/>
      </w:tblGrid>
      <w:tr w:rsidR="00595469" w:rsidRPr="00595469" w:rsidTr="00595469">
        <w:trPr>
          <w:trHeight w:val="255"/>
        </w:trPr>
        <w:tc>
          <w:tcPr>
            <w:tcW w:w="10348" w:type="dxa"/>
            <w:gridSpan w:val="6"/>
            <w:tcBorders>
              <w:top w:val="nil"/>
              <w:left w:val="nil"/>
              <w:bottom w:val="nil"/>
              <w:right w:val="nil"/>
            </w:tcBorders>
            <w:shd w:val="clear" w:color="auto" w:fill="auto"/>
            <w:noWrap/>
            <w:vAlign w:val="bottom"/>
            <w:hideMark/>
          </w:tcPr>
          <w:p w:rsidR="00595469" w:rsidRPr="00595469" w:rsidRDefault="00595469" w:rsidP="00595469">
            <w:pPr>
              <w:spacing w:after="0" w:line="240" w:lineRule="auto"/>
              <w:jc w:val="center"/>
              <w:rPr>
                <w:rFonts w:ascii="Times New Roman" w:eastAsia="Times New Roman" w:hAnsi="Times New Roman" w:cs="Times New Roman"/>
                <w:b/>
                <w:bCs/>
                <w:sz w:val="24"/>
                <w:szCs w:val="24"/>
                <w:lang w:eastAsia="ru-RU"/>
              </w:rPr>
            </w:pPr>
            <w:r w:rsidRPr="00595469">
              <w:rPr>
                <w:rFonts w:ascii="Times New Roman" w:eastAsia="Times New Roman" w:hAnsi="Times New Roman" w:cs="Times New Roman"/>
                <w:b/>
                <w:bCs/>
                <w:sz w:val="24"/>
                <w:szCs w:val="24"/>
                <w:lang w:eastAsia="ru-RU"/>
              </w:rPr>
              <w:lastRenderedPageBreak/>
              <w:t>Расходы районных бюджетов за 2012 год по КОСГУ</w:t>
            </w:r>
          </w:p>
        </w:tc>
      </w:tr>
      <w:tr w:rsidR="00595469" w:rsidRPr="00595469" w:rsidTr="00595469">
        <w:trPr>
          <w:trHeight w:val="255"/>
        </w:trPr>
        <w:tc>
          <w:tcPr>
            <w:tcW w:w="3544" w:type="dxa"/>
            <w:tcBorders>
              <w:top w:val="nil"/>
              <w:left w:val="nil"/>
              <w:bottom w:val="single" w:sz="4" w:space="0" w:color="auto"/>
              <w:right w:val="nil"/>
            </w:tcBorders>
            <w:shd w:val="clear" w:color="auto" w:fill="auto"/>
            <w:noWrap/>
            <w:vAlign w:val="bottom"/>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p>
        </w:tc>
        <w:tc>
          <w:tcPr>
            <w:tcW w:w="619" w:type="dxa"/>
            <w:tcBorders>
              <w:top w:val="nil"/>
              <w:left w:val="nil"/>
              <w:bottom w:val="single" w:sz="4" w:space="0" w:color="auto"/>
              <w:right w:val="nil"/>
            </w:tcBorders>
            <w:shd w:val="clear" w:color="auto" w:fill="auto"/>
            <w:noWrap/>
            <w:vAlign w:val="bottom"/>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p>
        </w:tc>
        <w:tc>
          <w:tcPr>
            <w:tcW w:w="2074" w:type="dxa"/>
            <w:tcBorders>
              <w:top w:val="nil"/>
              <w:left w:val="nil"/>
              <w:bottom w:val="single" w:sz="4" w:space="0" w:color="auto"/>
              <w:right w:val="nil"/>
            </w:tcBorders>
            <w:shd w:val="clear" w:color="auto" w:fill="auto"/>
            <w:noWrap/>
            <w:vAlign w:val="bottom"/>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p>
        </w:tc>
        <w:tc>
          <w:tcPr>
            <w:tcW w:w="1701" w:type="dxa"/>
            <w:tcBorders>
              <w:top w:val="nil"/>
              <w:left w:val="nil"/>
              <w:bottom w:val="single" w:sz="4" w:space="0" w:color="auto"/>
              <w:right w:val="nil"/>
            </w:tcBorders>
            <w:shd w:val="clear" w:color="auto" w:fill="auto"/>
            <w:noWrap/>
            <w:vAlign w:val="bottom"/>
            <w:hideMark/>
          </w:tcPr>
          <w:p w:rsidR="00595469" w:rsidRPr="00595469" w:rsidRDefault="00595469" w:rsidP="00595469">
            <w:pPr>
              <w:spacing w:after="0" w:line="240" w:lineRule="auto"/>
              <w:jc w:val="right"/>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595469" w:rsidRPr="00595469" w:rsidRDefault="00595469" w:rsidP="00595469">
            <w:pPr>
              <w:spacing w:after="0" w:line="240" w:lineRule="auto"/>
              <w:jc w:val="right"/>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 xml:space="preserve">тыс. </w:t>
            </w:r>
          </w:p>
        </w:tc>
        <w:tc>
          <w:tcPr>
            <w:tcW w:w="1134" w:type="dxa"/>
            <w:tcBorders>
              <w:top w:val="nil"/>
              <w:left w:val="nil"/>
              <w:bottom w:val="single" w:sz="4" w:space="0" w:color="auto"/>
              <w:right w:val="nil"/>
            </w:tcBorders>
            <w:shd w:val="clear" w:color="auto" w:fill="auto"/>
            <w:noWrap/>
            <w:vAlign w:val="bottom"/>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b/>
                <w:bCs/>
                <w:sz w:val="20"/>
                <w:szCs w:val="20"/>
                <w:lang w:eastAsia="ru-RU"/>
              </w:rPr>
              <w:t>рублей</w:t>
            </w:r>
          </w:p>
        </w:tc>
      </w:tr>
      <w:tr w:rsidR="00595469" w:rsidRPr="00595469" w:rsidTr="00595469">
        <w:trPr>
          <w:trHeight w:val="76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Наименование по БК</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ЭКР</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План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proofErr w:type="spellStart"/>
            <w:r w:rsidRPr="00595469">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Исп.</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Всего расходов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000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15 919 250,6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15 517 864,0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401 386,5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97,5%</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14 110 949,3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13 804 426,7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306 522,6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97,8%</w:t>
            </w:r>
          </w:p>
        </w:tc>
      </w:tr>
      <w:tr w:rsidR="00595469" w:rsidRPr="00595469" w:rsidTr="00595469">
        <w:trPr>
          <w:trHeight w:val="28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Оплата труда и 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1 197 785,1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1 190 852,4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6 932,7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99,4%</w:t>
            </w:r>
          </w:p>
        </w:tc>
      </w:tr>
      <w:tr w:rsidR="00595469" w:rsidRPr="00595469" w:rsidTr="00595469">
        <w:trPr>
          <w:trHeight w:val="9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Заработная плата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211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915 744,6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913 279,4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2 465,2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99,7%</w:t>
            </w:r>
          </w:p>
        </w:tc>
      </w:tr>
      <w:tr w:rsidR="00595469" w:rsidRPr="00595469" w:rsidTr="00595469">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Прочие выплаты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212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5 911,1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2 622,7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3 288,4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44,4%</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213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276 129,4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274 950,3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1 179,1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99,6%</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Приобретение услуг</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220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950 049,1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878 066,4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71 982,6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92,4%</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Услуги связи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221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45 275,4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44 933,9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99,2%</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 xml:space="preserve">Транспортные услуги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222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4 514,3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4 261,7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252,6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94,4%</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Коммунальные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223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41 966,1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32 470,6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9 495,6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77,4%</w:t>
            </w:r>
          </w:p>
        </w:tc>
      </w:tr>
      <w:tr w:rsidR="00595469" w:rsidRPr="00595469" w:rsidTr="00595469">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Арендная плата за пользование имуществом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224</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12 828,0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12 490,0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97,4%</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Услуги по содержанию имущества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225</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416 139,5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409 998,0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6 141,6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98,5%</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Прочие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226</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429 325,7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373 912,3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55 413,4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87,1%</w:t>
            </w:r>
          </w:p>
        </w:tc>
      </w:tr>
      <w:tr w:rsidR="00595469" w:rsidRPr="00595469" w:rsidTr="00595469">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Обслуживание государственного (муниципального)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230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9 638,1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9 638,1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100,0%</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Обслуживание внутреннего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231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9 638,1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9 638,1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100,0%</w:t>
            </w:r>
          </w:p>
        </w:tc>
      </w:tr>
      <w:tr w:rsidR="00595469" w:rsidRPr="00595469" w:rsidTr="00595469">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Безвозмездные и безвозвратные перечисления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240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8 126 558,3</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8 045 447,2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81 111,0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99,0%</w:t>
            </w:r>
          </w:p>
        </w:tc>
      </w:tr>
      <w:tr w:rsidR="00595469" w:rsidRPr="00595469" w:rsidTr="00595469">
        <w:trPr>
          <w:trHeight w:val="76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Безвозмездные и безвозвратные перечисления государственным и муниципальным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241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8 093 606,4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8 012 592,1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81 014,3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99,0%</w:t>
            </w:r>
          </w:p>
        </w:tc>
      </w:tr>
      <w:tr w:rsidR="00595469" w:rsidRPr="00595469" w:rsidTr="00595469">
        <w:trPr>
          <w:trHeight w:val="71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Безвозмездные перечисления организациям, за исключением государственных и муниципальных организаций</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242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32 951,9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32 855,1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99,7%</w:t>
            </w:r>
          </w:p>
        </w:tc>
      </w:tr>
      <w:tr w:rsidR="00595469" w:rsidRPr="00595469" w:rsidTr="00595469">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Безвозмездные перечисления бюджетам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250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726 460,3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725 259,0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1 201,3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99,8%</w:t>
            </w:r>
          </w:p>
        </w:tc>
      </w:tr>
      <w:tr w:rsidR="00595469" w:rsidRPr="00595469" w:rsidTr="00595469">
        <w:trPr>
          <w:trHeight w:val="59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Перечисления другим бю</w:t>
            </w:r>
            <w:r>
              <w:rPr>
                <w:rFonts w:ascii="Times New Roman" w:eastAsia="Times New Roman" w:hAnsi="Times New Roman" w:cs="Times New Roman"/>
                <w:sz w:val="20"/>
                <w:szCs w:val="20"/>
                <w:lang w:eastAsia="ru-RU"/>
              </w:rPr>
              <w:t>д</w:t>
            </w:r>
            <w:r w:rsidRPr="00595469">
              <w:rPr>
                <w:rFonts w:ascii="Times New Roman" w:eastAsia="Times New Roman" w:hAnsi="Times New Roman" w:cs="Times New Roman"/>
                <w:sz w:val="20"/>
                <w:szCs w:val="20"/>
                <w:lang w:eastAsia="ru-RU"/>
              </w:rPr>
              <w:t>жетам бюджетной системы Российской Федерации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251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726 460,3</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725 259,0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1 201,3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99,8%</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Социальное обеспечение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260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3 039 401,0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2 923 444,3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115 956,7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96,2%</w:t>
            </w:r>
          </w:p>
        </w:tc>
      </w:tr>
      <w:tr w:rsidR="00595469" w:rsidRPr="00595469" w:rsidTr="00595469">
        <w:trPr>
          <w:trHeight w:val="765"/>
        </w:trPr>
        <w:tc>
          <w:tcPr>
            <w:tcW w:w="3544" w:type="dxa"/>
            <w:tcBorders>
              <w:top w:val="single" w:sz="4" w:space="0" w:color="auto"/>
              <w:left w:val="single" w:sz="4" w:space="0" w:color="auto"/>
              <w:bottom w:val="single" w:sz="4" w:space="0" w:color="auto"/>
              <w:right w:val="nil"/>
            </w:tcBorders>
            <w:shd w:val="clear" w:color="auto" w:fill="auto"/>
            <w:vAlign w:val="bottom"/>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Пенсии,</w:t>
            </w:r>
            <w:r w:rsidRPr="00595469">
              <w:rPr>
                <w:rFonts w:ascii="Times New Roman" w:eastAsia="Times New Roman" w:hAnsi="Times New Roman" w:cs="Times New Roman"/>
                <w:color w:val="800080"/>
                <w:sz w:val="20"/>
                <w:szCs w:val="20"/>
                <w:lang w:eastAsia="ru-RU"/>
              </w:rPr>
              <w:t xml:space="preserve"> </w:t>
            </w:r>
            <w:r w:rsidRPr="00595469">
              <w:rPr>
                <w:rFonts w:ascii="Times New Roman" w:eastAsia="Times New Roman" w:hAnsi="Times New Roman" w:cs="Times New Roman"/>
                <w:sz w:val="20"/>
                <w:szCs w:val="20"/>
                <w:lang w:eastAsia="ru-RU"/>
              </w:rPr>
              <w:t>пособия и</w:t>
            </w:r>
            <w:r w:rsidRPr="00595469">
              <w:rPr>
                <w:rFonts w:ascii="Times New Roman" w:eastAsia="Times New Roman" w:hAnsi="Times New Roman" w:cs="Times New Roman"/>
                <w:color w:val="800080"/>
                <w:sz w:val="20"/>
                <w:szCs w:val="20"/>
                <w:lang w:eastAsia="ru-RU"/>
              </w:rPr>
              <w:t xml:space="preserve"> </w:t>
            </w:r>
            <w:r w:rsidRPr="00595469">
              <w:rPr>
                <w:rFonts w:ascii="Times New Roman" w:eastAsia="Times New Roman" w:hAnsi="Times New Roman" w:cs="Times New Roman"/>
                <w:sz w:val="20"/>
                <w:szCs w:val="20"/>
                <w:lang w:eastAsia="ru-RU"/>
              </w:rPr>
              <w:t>выплаты по пенсионному</w:t>
            </w:r>
            <w:r w:rsidRPr="00595469">
              <w:rPr>
                <w:rFonts w:ascii="Times New Roman" w:eastAsia="Times New Roman" w:hAnsi="Times New Roman" w:cs="Times New Roman"/>
                <w:color w:val="800080"/>
                <w:sz w:val="20"/>
                <w:szCs w:val="20"/>
                <w:lang w:eastAsia="ru-RU"/>
              </w:rPr>
              <w:t xml:space="preserve">, </w:t>
            </w:r>
            <w:r w:rsidRPr="00595469">
              <w:rPr>
                <w:rFonts w:ascii="Times New Roman" w:eastAsia="Times New Roman" w:hAnsi="Times New Roman" w:cs="Times New Roman"/>
                <w:sz w:val="20"/>
                <w:szCs w:val="20"/>
                <w:lang w:eastAsia="ru-RU"/>
              </w:rPr>
              <w:t>социальному и</w:t>
            </w:r>
            <w:r w:rsidRPr="00595469">
              <w:rPr>
                <w:rFonts w:ascii="Times New Roman" w:eastAsia="Times New Roman" w:hAnsi="Times New Roman" w:cs="Times New Roman"/>
                <w:color w:val="800080"/>
                <w:sz w:val="20"/>
                <w:szCs w:val="20"/>
                <w:lang w:eastAsia="ru-RU"/>
              </w:rPr>
              <w:t xml:space="preserve"> </w:t>
            </w:r>
            <w:r w:rsidRPr="00595469">
              <w:rPr>
                <w:rFonts w:ascii="Times New Roman" w:eastAsia="Times New Roman" w:hAnsi="Times New Roman" w:cs="Times New Roman"/>
                <w:sz w:val="20"/>
                <w:szCs w:val="20"/>
                <w:lang w:eastAsia="ru-RU"/>
              </w:rPr>
              <w:t>медицинскому</w:t>
            </w:r>
            <w:r w:rsidRPr="00595469">
              <w:rPr>
                <w:rFonts w:ascii="Times New Roman" w:eastAsia="Times New Roman" w:hAnsi="Times New Roman" w:cs="Times New Roman"/>
                <w:color w:val="800080"/>
                <w:sz w:val="20"/>
                <w:szCs w:val="20"/>
                <w:lang w:eastAsia="ru-RU"/>
              </w:rPr>
              <w:t xml:space="preserve"> </w:t>
            </w:r>
            <w:r w:rsidRPr="00595469">
              <w:rPr>
                <w:rFonts w:ascii="Times New Roman" w:eastAsia="Times New Roman" w:hAnsi="Times New Roman" w:cs="Times New Roman"/>
                <w:sz w:val="20"/>
                <w:szCs w:val="20"/>
                <w:lang w:eastAsia="ru-RU"/>
              </w:rPr>
              <w:t>страхованию населения</w:t>
            </w:r>
          </w:p>
        </w:tc>
        <w:tc>
          <w:tcPr>
            <w:tcW w:w="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261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10 703,6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6 968,9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3 734,7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65,1%</w:t>
            </w:r>
          </w:p>
        </w:tc>
      </w:tr>
      <w:tr w:rsidR="00595469" w:rsidRPr="00595469" w:rsidTr="00595469">
        <w:trPr>
          <w:trHeight w:val="31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Пособия по социальной помощи населению</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262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3 028 200,1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2 916 021,8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112 178,3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96,3%</w:t>
            </w:r>
          </w:p>
        </w:tc>
      </w:tr>
      <w:tr w:rsidR="00595469" w:rsidRPr="00595469" w:rsidTr="00595469">
        <w:trPr>
          <w:trHeight w:val="64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Пенсии, пособия, выплачиваемые организациями сектора государственного управления</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263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497,3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453,6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43,7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91,2%</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Прочие 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290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61 057,4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31 719,1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29 338,3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51,9%</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Поступление нефинансовых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300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1 805 301,3</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1 710 437,4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94 863,9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94,7%</w:t>
            </w:r>
          </w:p>
        </w:tc>
      </w:tr>
      <w:tr w:rsidR="00595469" w:rsidRPr="00595469" w:rsidTr="00595469">
        <w:trPr>
          <w:trHeight w:val="269"/>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Увеличение стоимости основных средств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1 613 773,6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1 522 424,2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91 349,4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94,3%</w:t>
            </w:r>
          </w:p>
        </w:tc>
      </w:tr>
      <w:tr w:rsidR="00595469" w:rsidRPr="00595469" w:rsidTr="00595469">
        <w:trPr>
          <w:trHeight w:val="23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Увеличение стоимости материальных запасов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340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191 527,7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188 013,2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3 514,5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98,2%</w:t>
            </w:r>
          </w:p>
        </w:tc>
      </w:tr>
      <w:tr w:rsidR="00595469" w:rsidRPr="00595469" w:rsidTr="00595469">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Поступление 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500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3 000,0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3 000,0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b/>
                <w:bCs/>
                <w:sz w:val="20"/>
                <w:szCs w:val="20"/>
                <w:lang w:eastAsia="ru-RU"/>
              </w:rPr>
            </w:pPr>
            <w:r w:rsidRPr="00595469">
              <w:rPr>
                <w:rFonts w:ascii="Times New Roman" w:eastAsia="Times New Roman" w:hAnsi="Times New Roman" w:cs="Times New Roman"/>
                <w:b/>
                <w:bCs/>
                <w:sz w:val="20"/>
                <w:szCs w:val="20"/>
                <w:lang w:eastAsia="ru-RU"/>
              </w:rPr>
              <w:t>100,0%</w:t>
            </w:r>
          </w:p>
        </w:tc>
      </w:tr>
      <w:tr w:rsidR="00595469" w:rsidRPr="00595469" w:rsidTr="00595469">
        <w:trPr>
          <w:trHeight w:val="13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Увеличение стоимости акций и иных форм участия в капитале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530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3 000,0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3 000,0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5469" w:rsidRPr="00595469" w:rsidRDefault="00595469" w:rsidP="00595469">
            <w:pPr>
              <w:spacing w:after="0" w:line="240" w:lineRule="auto"/>
              <w:jc w:val="center"/>
              <w:rPr>
                <w:rFonts w:ascii="Times New Roman" w:eastAsia="Times New Roman" w:hAnsi="Times New Roman" w:cs="Times New Roman"/>
                <w:sz w:val="20"/>
                <w:szCs w:val="20"/>
                <w:lang w:eastAsia="ru-RU"/>
              </w:rPr>
            </w:pPr>
            <w:r w:rsidRPr="00595469">
              <w:rPr>
                <w:rFonts w:ascii="Times New Roman" w:eastAsia="Times New Roman" w:hAnsi="Times New Roman" w:cs="Times New Roman"/>
                <w:sz w:val="20"/>
                <w:szCs w:val="20"/>
                <w:lang w:eastAsia="ru-RU"/>
              </w:rPr>
              <w:t>100,0%</w:t>
            </w:r>
          </w:p>
        </w:tc>
      </w:tr>
    </w:tbl>
    <w:p w:rsidR="000B1C2A" w:rsidRDefault="000B1C2A" w:rsidP="00A05F1A">
      <w:pPr>
        <w:spacing w:after="0" w:line="360" w:lineRule="auto"/>
        <w:ind w:left="-567"/>
        <w:jc w:val="both"/>
        <w:rPr>
          <w:rFonts w:ascii="Times New Roman" w:hAnsi="Times New Roman" w:cs="Times New Roman"/>
          <w:b/>
          <w:sz w:val="24"/>
          <w:szCs w:val="24"/>
        </w:rPr>
      </w:pPr>
    </w:p>
    <w:p w:rsidR="00595469" w:rsidRDefault="00595469" w:rsidP="00A05F1A">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6E80852A" wp14:editId="5381927E">
            <wp:extent cx="6554549" cy="4021742"/>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883AA9" w:rsidRDefault="00883AA9"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544"/>
        <w:gridCol w:w="619"/>
        <w:gridCol w:w="2074"/>
        <w:gridCol w:w="1701"/>
        <w:gridCol w:w="1276"/>
        <w:gridCol w:w="1134"/>
      </w:tblGrid>
      <w:tr w:rsidR="002D6168" w:rsidRPr="002D6168" w:rsidTr="002D6168">
        <w:trPr>
          <w:trHeight w:val="255"/>
        </w:trPr>
        <w:tc>
          <w:tcPr>
            <w:tcW w:w="10348" w:type="dxa"/>
            <w:gridSpan w:val="6"/>
            <w:tcBorders>
              <w:top w:val="nil"/>
              <w:left w:val="nil"/>
              <w:bottom w:val="nil"/>
              <w:right w:val="nil"/>
            </w:tcBorders>
            <w:shd w:val="clear" w:color="auto" w:fill="auto"/>
            <w:noWrap/>
            <w:vAlign w:val="bottom"/>
            <w:hideMark/>
          </w:tcPr>
          <w:p w:rsidR="002D6168" w:rsidRPr="002D6168" w:rsidRDefault="002D6168" w:rsidP="002D6168">
            <w:pPr>
              <w:spacing w:after="0" w:line="240" w:lineRule="auto"/>
              <w:jc w:val="center"/>
              <w:rPr>
                <w:rFonts w:ascii="Times New Roman" w:eastAsia="Times New Roman" w:hAnsi="Times New Roman" w:cs="Times New Roman"/>
                <w:b/>
                <w:bCs/>
                <w:sz w:val="24"/>
                <w:szCs w:val="24"/>
                <w:lang w:eastAsia="ru-RU"/>
              </w:rPr>
            </w:pPr>
            <w:r w:rsidRPr="002D6168">
              <w:rPr>
                <w:rFonts w:ascii="Times New Roman" w:eastAsia="Times New Roman" w:hAnsi="Times New Roman" w:cs="Times New Roman"/>
                <w:b/>
                <w:bCs/>
                <w:sz w:val="24"/>
                <w:szCs w:val="24"/>
                <w:lang w:eastAsia="ru-RU"/>
              </w:rPr>
              <w:t>Расходы бюджетов городских округов за 2012 год по КОСГУ</w:t>
            </w:r>
          </w:p>
        </w:tc>
      </w:tr>
      <w:tr w:rsidR="002D6168" w:rsidRPr="002D6168" w:rsidTr="002D6168">
        <w:trPr>
          <w:trHeight w:val="255"/>
        </w:trPr>
        <w:tc>
          <w:tcPr>
            <w:tcW w:w="3544" w:type="dxa"/>
            <w:tcBorders>
              <w:top w:val="nil"/>
              <w:left w:val="nil"/>
              <w:bottom w:val="single" w:sz="4" w:space="0" w:color="auto"/>
              <w:right w:val="nil"/>
            </w:tcBorders>
            <w:shd w:val="clear" w:color="auto" w:fill="auto"/>
            <w:noWrap/>
            <w:vAlign w:val="bottom"/>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p>
        </w:tc>
        <w:tc>
          <w:tcPr>
            <w:tcW w:w="619" w:type="dxa"/>
            <w:tcBorders>
              <w:top w:val="nil"/>
              <w:left w:val="nil"/>
              <w:bottom w:val="single" w:sz="4" w:space="0" w:color="auto"/>
              <w:right w:val="nil"/>
            </w:tcBorders>
            <w:shd w:val="clear" w:color="auto" w:fill="auto"/>
            <w:noWrap/>
            <w:vAlign w:val="bottom"/>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p>
        </w:tc>
        <w:tc>
          <w:tcPr>
            <w:tcW w:w="2074" w:type="dxa"/>
            <w:tcBorders>
              <w:top w:val="nil"/>
              <w:left w:val="nil"/>
              <w:bottom w:val="single" w:sz="4" w:space="0" w:color="auto"/>
              <w:right w:val="nil"/>
            </w:tcBorders>
            <w:shd w:val="clear" w:color="auto" w:fill="auto"/>
            <w:noWrap/>
            <w:vAlign w:val="bottom"/>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p>
        </w:tc>
        <w:tc>
          <w:tcPr>
            <w:tcW w:w="1701" w:type="dxa"/>
            <w:tcBorders>
              <w:top w:val="nil"/>
              <w:left w:val="nil"/>
              <w:bottom w:val="single" w:sz="4" w:space="0" w:color="auto"/>
              <w:right w:val="nil"/>
            </w:tcBorders>
            <w:shd w:val="clear" w:color="auto" w:fill="auto"/>
            <w:noWrap/>
            <w:vAlign w:val="bottom"/>
            <w:hideMark/>
          </w:tcPr>
          <w:p w:rsidR="002D6168" w:rsidRPr="002D6168" w:rsidRDefault="002D6168" w:rsidP="002D6168">
            <w:pPr>
              <w:spacing w:after="0" w:line="240" w:lineRule="auto"/>
              <w:jc w:val="right"/>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2D6168" w:rsidRPr="002D6168" w:rsidRDefault="002D6168" w:rsidP="002D6168">
            <w:pPr>
              <w:spacing w:after="0" w:line="240" w:lineRule="auto"/>
              <w:jc w:val="right"/>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 xml:space="preserve">тыс. </w:t>
            </w:r>
          </w:p>
        </w:tc>
        <w:tc>
          <w:tcPr>
            <w:tcW w:w="1134" w:type="dxa"/>
            <w:tcBorders>
              <w:top w:val="nil"/>
              <w:left w:val="nil"/>
              <w:bottom w:val="single" w:sz="4" w:space="0" w:color="auto"/>
              <w:right w:val="nil"/>
            </w:tcBorders>
            <w:shd w:val="clear" w:color="auto" w:fill="auto"/>
            <w:noWrap/>
            <w:vAlign w:val="bottom"/>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b/>
                <w:bCs/>
                <w:sz w:val="20"/>
                <w:szCs w:val="20"/>
                <w:lang w:eastAsia="ru-RU"/>
              </w:rPr>
              <w:t>рублей</w:t>
            </w:r>
          </w:p>
        </w:tc>
      </w:tr>
      <w:tr w:rsidR="002D6168" w:rsidRPr="002D6168" w:rsidTr="002D6168">
        <w:trPr>
          <w:trHeight w:val="76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Наименование по БК</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ЭКР</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План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proofErr w:type="spellStart"/>
            <w:r>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Всего расходов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000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6 849 585,2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6 760 758,3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88 826,9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98,7%</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5 522 492,3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5 436 902,7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85 589,7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98,5%</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Оплата труда и 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438 341,2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437 602,2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739,0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99,8%</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Заработная плата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211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336 285,1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336 098,7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186,4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99,9%</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Прочие выплаты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212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949,4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867,0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82,4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91,3%</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213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101 106,6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100 636,4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470,2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99,5%</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Приобретение услуг</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220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1 395 905,6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1 343 362,3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52 543,3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96,2%</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Услуги связи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16 838,8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16 384,9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453,9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97,3%</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 xml:space="preserve">Транспортные услуги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2 396,7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2 316,4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80,4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96,6%</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Коммунальные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223</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20 848,6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20 522,7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326,0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98,4%</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Арендная плата за пользование имуществом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224</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4 084,8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4 084,8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100,0%</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Услуги по содержанию имущества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225</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1 129 080,9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1 078 935,6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50 145,3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95,6%</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Прочие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226</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222 655,8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221 118,0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1 537,8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99,3%</w:t>
            </w:r>
          </w:p>
        </w:tc>
      </w:tr>
      <w:tr w:rsidR="002D6168" w:rsidRPr="002D6168" w:rsidTr="002D6168">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Обслуживание государственного (муниципального)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230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1 230,0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1 230,0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100,0%</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Обслуживание внутреннего долга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231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1 230,0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1 230,0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100,0%</w:t>
            </w:r>
          </w:p>
        </w:tc>
      </w:tr>
      <w:tr w:rsidR="002D6168" w:rsidRPr="002D6168" w:rsidTr="002D6168">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lastRenderedPageBreak/>
              <w:t>Безвозмездные и безвозвратные перечисления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240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2 804 375,7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2 795 487,3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8 888,4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99,7%</w:t>
            </w:r>
          </w:p>
        </w:tc>
      </w:tr>
      <w:tr w:rsidR="002D6168" w:rsidRPr="002D6168" w:rsidTr="002D6168">
        <w:trPr>
          <w:trHeight w:val="76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Безвозмездные и безвозвратные перечисления государственным и муниципальным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241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2 803 800,7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2 794 912,3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8 888,4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99,7%</w:t>
            </w:r>
          </w:p>
        </w:tc>
      </w:tr>
      <w:tr w:rsidR="002D6168" w:rsidRPr="002D6168" w:rsidTr="002D6168">
        <w:trPr>
          <w:trHeight w:val="76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Безвозмездные перечисления организациям, за исключением государственных и муниципальных организаций</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242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575,0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575,0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100,0%</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Социальное обеспечение</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260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839 631,2</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825 630,1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14 001,1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98,3%</w:t>
            </w:r>
          </w:p>
        </w:tc>
      </w:tr>
      <w:tr w:rsidR="002D6168" w:rsidRPr="002D6168" w:rsidTr="002D6168">
        <w:trPr>
          <w:trHeight w:val="765"/>
        </w:trPr>
        <w:tc>
          <w:tcPr>
            <w:tcW w:w="3544" w:type="dxa"/>
            <w:tcBorders>
              <w:top w:val="single" w:sz="4" w:space="0" w:color="auto"/>
              <w:left w:val="single" w:sz="4" w:space="0" w:color="auto"/>
              <w:bottom w:val="single" w:sz="4" w:space="0" w:color="auto"/>
              <w:right w:val="nil"/>
            </w:tcBorders>
            <w:shd w:val="clear" w:color="auto" w:fill="auto"/>
            <w:vAlign w:val="bottom"/>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Пенсии,</w:t>
            </w:r>
            <w:r w:rsidRPr="002D6168">
              <w:rPr>
                <w:rFonts w:ascii="Times New Roman" w:eastAsia="Times New Roman" w:hAnsi="Times New Roman" w:cs="Times New Roman"/>
                <w:color w:val="800080"/>
                <w:sz w:val="20"/>
                <w:szCs w:val="20"/>
                <w:lang w:eastAsia="ru-RU"/>
              </w:rPr>
              <w:t xml:space="preserve"> </w:t>
            </w:r>
            <w:r w:rsidRPr="002D6168">
              <w:rPr>
                <w:rFonts w:ascii="Times New Roman" w:eastAsia="Times New Roman" w:hAnsi="Times New Roman" w:cs="Times New Roman"/>
                <w:sz w:val="20"/>
                <w:szCs w:val="20"/>
                <w:lang w:eastAsia="ru-RU"/>
              </w:rPr>
              <w:t>пособия и</w:t>
            </w:r>
            <w:r w:rsidRPr="002D6168">
              <w:rPr>
                <w:rFonts w:ascii="Times New Roman" w:eastAsia="Times New Roman" w:hAnsi="Times New Roman" w:cs="Times New Roman"/>
                <w:color w:val="800080"/>
                <w:sz w:val="20"/>
                <w:szCs w:val="20"/>
                <w:lang w:eastAsia="ru-RU"/>
              </w:rPr>
              <w:t xml:space="preserve"> </w:t>
            </w:r>
            <w:r w:rsidRPr="002D6168">
              <w:rPr>
                <w:rFonts w:ascii="Times New Roman" w:eastAsia="Times New Roman" w:hAnsi="Times New Roman" w:cs="Times New Roman"/>
                <w:sz w:val="20"/>
                <w:szCs w:val="20"/>
                <w:lang w:eastAsia="ru-RU"/>
              </w:rPr>
              <w:t>выплаты по пенсионному</w:t>
            </w:r>
            <w:r w:rsidRPr="002D6168">
              <w:rPr>
                <w:rFonts w:ascii="Times New Roman" w:eastAsia="Times New Roman" w:hAnsi="Times New Roman" w:cs="Times New Roman"/>
                <w:color w:val="800080"/>
                <w:sz w:val="20"/>
                <w:szCs w:val="20"/>
                <w:lang w:eastAsia="ru-RU"/>
              </w:rPr>
              <w:t xml:space="preserve">, </w:t>
            </w:r>
            <w:r w:rsidRPr="002D6168">
              <w:rPr>
                <w:rFonts w:ascii="Times New Roman" w:eastAsia="Times New Roman" w:hAnsi="Times New Roman" w:cs="Times New Roman"/>
                <w:sz w:val="20"/>
                <w:szCs w:val="20"/>
                <w:lang w:eastAsia="ru-RU"/>
              </w:rPr>
              <w:t>социальному и</w:t>
            </w:r>
            <w:r w:rsidRPr="002D6168">
              <w:rPr>
                <w:rFonts w:ascii="Times New Roman" w:eastAsia="Times New Roman" w:hAnsi="Times New Roman" w:cs="Times New Roman"/>
                <w:color w:val="800080"/>
                <w:sz w:val="20"/>
                <w:szCs w:val="20"/>
                <w:lang w:eastAsia="ru-RU"/>
              </w:rPr>
              <w:t xml:space="preserve"> </w:t>
            </w:r>
            <w:r w:rsidRPr="002D6168">
              <w:rPr>
                <w:rFonts w:ascii="Times New Roman" w:eastAsia="Times New Roman" w:hAnsi="Times New Roman" w:cs="Times New Roman"/>
                <w:sz w:val="20"/>
                <w:szCs w:val="20"/>
                <w:lang w:eastAsia="ru-RU"/>
              </w:rPr>
              <w:t>медицинскому</w:t>
            </w:r>
            <w:r w:rsidRPr="002D6168">
              <w:rPr>
                <w:rFonts w:ascii="Times New Roman" w:eastAsia="Times New Roman" w:hAnsi="Times New Roman" w:cs="Times New Roman"/>
                <w:color w:val="800080"/>
                <w:sz w:val="20"/>
                <w:szCs w:val="20"/>
                <w:lang w:eastAsia="ru-RU"/>
              </w:rPr>
              <w:t xml:space="preserve"> </w:t>
            </w:r>
            <w:r w:rsidRPr="002D6168">
              <w:rPr>
                <w:rFonts w:ascii="Times New Roman" w:eastAsia="Times New Roman" w:hAnsi="Times New Roman" w:cs="Times New Roman"/>
                <w:sz w:val="20"/>
                <w:szCs w:val="20"/>
                <w:lang w:eastAsia="ru-RU"/>
              </w:rPr>
              <w:t>страхованию населения</w:t>
            </w:r>
          </w:p>
        </w:tc>
        <w:tc>
          <w:tcPr>
            <w:tcW w:w="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261</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1 663,4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1 137,5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525,9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68,4%</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Пособия по социальной помощи населению</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262</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837 967,8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824 492,7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13 475,1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98,4%</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Прочие 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290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43 008,6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33 590,8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9 417,9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78,1%</w:t>
            </w:r>
          </w:p>
        </w:tc>
      </w:tr>
      <w:tr w:rsidR="002D6168" w:rsidRPr="002D6168" w:rsidTr="002D6168">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Поступление нефинансовых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300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1 327 092,9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1 323 855,6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3 237,2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b/>
                <w:bCs/>
                <w:sz w:val="20"/>
                <w:szCs w:val="20"/>
                <w:lang w:eastAsia="ru-RU"/>
              </w:rPr>
            </w:pPr>
            <w:r w:rsidRPr="002D6168">
              <w:rPr>
                <w:rFonts w:ascii="Times New Roman" w:eastAsia="Times New Roman" w:hAnsi="Times New Roman" w:cs="Times New Roman"/>
                <w:b/>
                <w:bCs/>
                <w:sz w:val="20"/>
                <w:szCs w:val="20"/>
                <w:lang w:eastAsia="ru-RU"/>
              </w:rPr>
              <w:t>99,8%</w:t>
            </w:r>
          </w:p>
        </w:tc>
      </w:tr>
      <w:tr w:rsidR="002D6168" w:rsidRPr="002D6168" w:rsidTr="002D6168">
        <w:trPr>
          <w:trHeight w:val="30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Увеличение стоимости основных средств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310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1 226 871,7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1 223 798,7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3 073,0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99,7%</w:t>
            </w:r>
          </w:p>
        </w:tc>
      </w:tr>
      <w:tr w:rsidR="002D6168" w:rsidRPr="002D6168" w:rsidTr="002D6168">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Увеличение стоимости материальных запасов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340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100 221,2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100 056,9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164,2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2D6168" w:rsidRPr="002D6168" w:rsidRDefault="002D6168" w:rsidP="002D6168">
            <w:pPr>
              <w:spacing w:after="0" w:line="240" w:lineRule="auto"/>
              <w:jc w:val="center"/>
              <w:rPr>
                <w:rFonts w:ascii="Times New Roman" w:eastAsia="Times New Roman" w:hAnsi="Times New Roman" w:cs="Times New Roman"/>
                <w:sz w:val="20"/>
                <w:szCs w:val="20"/>
                <w:lang w:eastAsia="ru-RU"/>
              </w:rPr>
            </w:pPr>
            <w:r w:rsidRPr="002D6168">
              <w:rPr>
                <w:rFonts w:ascii="Times New Roman" w:eastAsia="Times New Roman" w:hAnsi="Times New Roman" w:cs="Times New Roman"/>
                <w:sz w:val="20"/>
                <w:szCs w:val="20"/>
                <w:lang w:eastAsia="ru-RU"/>
              </w:rPr>
              <w:t>99,8%</w:t>
            </w:r>
          </w:p>
        </w:tc>
      </w:tr>
    </w:tbl>
    <w:p w:rsidR="00883AA9" w:rsidRDefault="00883AA9"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2CDDDDBE" wp14:editId="56908010">
            <wp:extent cx="6595009" cy="4005558"/>
            <wp:effectExtent l="0" t="0" r="0"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2D6168"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3544"/>
        <w:gridCol w:w="619"/>
        <w:gridCol w:w="2074"/>
        <w:gridCol w:w="1701"/>
        <w:gridCol w:w="1276"/>
        <w:gridCol w:w="1134"/>
      </w:tblGrid>
      <w:tr w:rsidR="003043F3" w:rsidRPr="003043F3" w:rsidTr="00C253FC">
        <w:trPr>
          <w:trHeight w:val="140"/>
        </w:trPr>
        <w:tc>
          <w:tcPr>
            <w:tcW w:w="10348" w:type="dxa"/>
            <w:gridSpan w:val="6"/>
            <w:tcBorders>
              <w:top w:val="nil"/>
              <w:left w:val="nil"/>
              <w:bottom w:val="nil"/>
              <w:right w:val="nil"/>
            </w:tcBorders>
            <w:shd w:val="clear" w:color="auto" w:fill="auto"/>
            <w:noWrap/>
            <w:vAlign w:val="bottom"/>
            <w:hideMark/>
          </w:tcPr>
          <w:p w:rsidR="003043F3" w:rsidRPr="003043F3" w:rsidRDefault="003043F3" w:rsidP="003043F3">
            <w:pPr>
              <w:spacing w:after="0" w:line="240" w:lineRule="auto"/>
              <w:jc w:val="center"/>
              <w:rPr>
                <w:rFonts w:ascii="Times New Roman" w:eastAsia="Times New Roman" w:hAnsi="Times New Roman" w:cs="Times New Roman"/>
                <w:b/>
                <w:bCs/>
                <w:sz w:val="24"/>
                <w:szCs w:val="24"/>
                <w:lang w:eastAsia="ru-RU"/>
              </w:rPr>
            </w:pPr>
            <w:r w:rsidRPr="003043F3">
              <w:rPr>
                <w:rFonts w:ascii="Times New Roman" w:eastAsia="Times New Roman" w:hAnsi="Times New Roman" w:cs="Times New Roman"/>
                <w:b/>
                <w:bCs/>
                <w:sz w:val="24"/>
                <w:szCs w:val="24"/>
                <w:lang w:eastAsia="ru-RU"/>
              </w:rPr>
              <w:lastRenderedPageBreak/>
              <w:t>Расходы бюджетов поселений за 2012 год по КОСГУ</w:t>
            </w:r>
          </w:p>
        </w:tc>
      </w:tr>
      <w:tr w:rsidR="003043F3" w:rsidRPr="003043F3" w:rsidTr="00C253FC">
        <w:trPr>
          <w:trHeight w:val="145"/>
        </w:trPr>
        <w:tc>
          <w:tcPr>
            <w:tcW w:w="3544" w:type="dxa"/>
            <w:tcBorders>
              <w:top w:val="nil"/>
              <w:left w:val="nil"/>
              <w:bottom w:val="single" w:sz="4" w:space="0" w:color="auto"/>
              <w:right w:val="nil"/>
            </w:tcBorders>
            <w:shd w:val="clear" w:color="auto" w:fill="auto"/>
            <w:noWrap/>
            <w:vAlign w:val="bottom"/>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p>
        </w:tc>
        <w:tc>
          <w:tcPr>
            <w:tcW w:w="619" w:type="dxa"/>
            <w:tcBorders>
              <w:top w:val="nil"/>
              <w:left w:val="nil"/>
              <w:bottom w:val="single" w:sz="4" w:space="0" w:color="auto"/>
              <w:right w:val="nil"/>
            </w:tcBorders>
            <w:shd w:val="clear" w:color="auto" w:fill="auto"/>
            <w:noWrap/>
            <w:vAlign w:val="bottom"/>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p>
        </w:tc>
        <w:tc>
          <w:tcPr>
            <w:tcW w:w="2074" w:type="dxa"/>
            <w:tcBorders>
              <w:top w:val="nil"/>
              <w:left w:val="nil"/>
              <w:bottom w:val="single" w:sz="4" w:space="0" w:color="auto"/>
              <w:right w:val="nil"/>
            </w:tcBorders>
            <w:shd w:val="clear" w:color="auto" w:fill="auto"/>
            <w:noWrap/>
            <w:vAlign w:val="bottom"/>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p>
        </w:tc>
        <w:tc>
          <w:tcPr>
            <w:tcW w:w="1701" w:type="dxa"/>
            <w:tcBorders>
              <w:top w:val="nil"/>
              <w:left w:val="nil"/>
              <w:bottom w:val="single" w:sz="4" w:space="0" w:color="auto"/>
              <w:right w:val="nil"/>
            </w:tcBorders>
            <w:shd w:val="clear" w:color="auto" w:fill="auto"/>
            <w:noWrap/>
            <w:vAlign w:val="bottom"/>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ед. изм.</w:t>
            </w:r>
          </w:p>
        </w:tc>
        <w:tc>
          <w:tcPr>
            <w:tcW w:w="1276" w:type="dxa"/>
            <w:tcBorders>
              <w:top w:val="nil"/>
              <w:left w:val="nil"/>
              <w:bottom w:val="single" w:sz="4" w:space="0" w:color="auto"/>
              <w:right w:val="nil"/>
            </w:tcBorders>
            <w:shd w:val="clear" w:color="auto" w:fill="auto"/>
            <w:noWrap/>
            <w:vAlign w:val="bottom"/>
            <w:hideMark/>
          </w:tcPr>
          <w:p w:rsidR="003043F3" w:rsidRPr="003043F3" w:rsidRDefault="003043F3" w:rsidP="003043F3">
            <w:pPr>
              <w:spacing w:after="0" w:line="240" w:lineRule="auto"/>
              <w:jc w:val="right"/>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 xml:space="preserve">тыс. </w:t>
            </w:r>
          </w:p>
        </w:tc>
        <w:tc>
          <w:tcPr>
            <w:tcW w:w="1134" w:type="dxa"/>
            <w:tcBorders>
              <w:top w:val="nil"/>
              <w:left w:val="nil"/>
              <w:bottom w:val="single" w:sz="4" w:space="0" w:color="auto"/>
              <w:right w:val="nil"/>
            </w:tcBorders>
            <w:shd w:val="clear" w:color="auto" w:fill="auto"/>
            <w:noWrap/>
            <w:vAlign w:val="bottom"/>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b/>
                <w:bCs/>
                <w:sz w:val="20"/>
                <w:szCs w:val="20"/>
                <w:lang w:eastAsia="ru-RU"/>
              </w:rPr>
              <w:t>рублей</w:t>
            </w:r>
          </w:p>
        </w:tc>
      </w:tr>
      <w:tr w:rsidR="003043F3" w:rsidRPr="003043F3" w:rsidTr="00C253FC">
        <w:trPr>
          <w:trHeight w:val="45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Наименование по БК</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ЭКР</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План</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Факт</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proofErr w:type="spellStart"/>
            <w:r w:rsidRPr="003043F3">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3043F3" w:rsidRPr="003043F3" w:rsidTr="00C253FC">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Всего расходов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000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1 104 731,4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1 019 160,7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85 570,7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92,3%</w:t>
            </w:r>
          </w:p>
        </w:tc>
      </w:tr>
      <w:tr w:rsidR="003043F3" w:rsidRPr="003043F3" w:rsidTr="00C253FC">
        <w:trPr>
          <w:trHeight w:val="178"/>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200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932 054,0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853 677,0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78 377,0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91,6%</w:t>
            </w:r>
          </w:p>
        </w:tc>
      </w:tr>
      <w:tr w:rsidR="003043F3" w:rsidRPr="003043F3" w:rsidTr="00C253FC">
        <w:trPr>
          <w:trHeight w:val="18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Оплата труда и 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210</w:t>
            </w:r>
          </w:p>
        </w:tc>
        <w:tc>
          <w:tcPr>
            <w:tcW w:w="207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462 170,2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447 224,2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14 946,0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96,8%</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Заработная плата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211</w:t>
            </w:r>
          </w:p>
        </w:tc>
        <w:tc>
          <w:tcPr>
            <w:tcW w:w="2074" w:type="dxa"/>
            <w:tcBorders>
              <w:top w:val="single" w:sz="4" w:space="0" w:color="auto"/>
              <w:left w:val="nil"/>
              <w:bottom w:val="single" w:sz="4" w:space="0" w:color="auto"/>
              <w:right w:val="nil"/>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350 216,6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342 348,5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7 868,1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97,8%</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Прочие выплаты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212</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5 000,0</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1 168,2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3 831,8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23,4%</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Начисления на оплату труда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213</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106 953,6</w:t>
            </w:r>
          </w:p>
        </w:tc>
        <w:tc>
          <w:tcPr>
            <w:tcW w:w="1701" w:type="dxa"/>
            <w:tcBorders>
              <w:top w:val="single" w:sz="4" w:space="0" w:color="auto"/>
              <w:left w:val="nil"/>
              <w:bottom w:val="single" w:sz="4" w:space="0" w:color="auto"/>
              <w:right w:val="nil"/>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103 707,5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3 246,1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97,0%</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Приобретение услуг</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220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422 097,9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382 961,5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39 136,4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90,7%</w:t>
            </w:r>
          </w:p>
        </w:tc>
      </w:tr>
      <w:tr w:rsidR="003043F3" w:rsidRPr="003043F3" w:rsidTr="00C253FC">
        <w:trPr>
          <w:trHeight w:val="62"/>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Услуги связи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221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4 646,4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4 321,2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325,2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93,0%</w:t>
            </w:r>
          </w:p>
        </w:tc>
      </w:tr>
      <w:tr w:rsidR="003043F3" w:rsidRPr="003043F3" w:rsidTr="00C253FC">
        <w:trPr>
          <w:trHeight w:val="108"/>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 xml:space="preserve">Транспортные услуги </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222</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3 597,5</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3 276,0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321,5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91,1%</w:t>
            </w:r>
          </w:p>
        </w:tc>
      </w:tr>
      <w:tr w:rsidR="003043F3" w:rsidRPr="003043F3" w:rsidTr="00C253FC">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Коммунальные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223</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98 464,7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81 655,3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16 809,4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82,9%</w:t>
            </w:r>
          </w:p>
        </w:tc>
      </w:tr>
      <w:tr w:rsidR="003043F3" w:rsidRPr="003043F3" w:rsidTr="00C253FC">
        <w:trPr>
          <w:trHeight w:val="143"/>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Арендная плата за пользование имуществом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224</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4 957,7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4 831,5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126,2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97,5%</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Услуги по содержанию имущества</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225</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134 391,3</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122 440,6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11 950,7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91,1%</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Прочие услуги</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226</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176 040,4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166 436,9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9 603,5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94,5%</w:t>
            </w:r>
          </w:p>
        </w:tc>
      </w:tr>
      <w:tr w:rsidR="003043F3" w:rsidRPr="003043F3" w:rsidTr="003043F3">
        <w:trPr>
          <w:trHeight w:val="510"/>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Безвозмездные и безвозвратные перечисления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240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8 251,6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7 998,1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253,5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96,9%</w:t>
            </w:r>
          </w:p>
        </w:tc>
      </w:tr>
      <w:tr w:rsidR="003043F3" w:rsidRPr="003043F3" w:rsidTr="003043F3">
        <w:trPr>
          <w:trHeight w:val="52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Безвозмездные и безвозвратные перечисления государственным и муниципальным организациям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241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7 951,6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7 698,1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253,5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96,8%</w:t>
            </w:r>
          </w:p>
        </w:tc>
      </w:tr>
      <w:tr w:rsidR="003043F3" w:rsidRPr="003043F3" w:rsidTr="003043F3">
        <w:trPr>
          <w:trHeight w:val="449"/>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Безвозмездные перечисления организациям, за исключением государственных и муниципальных организаций</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242</w:t>
            </w:r>
          </w:p>
        </w:tc>
        <w:tc>
          <w:tcPr>
            <w:tcW w:w="2074" w:type="dxa"/>
            <w:tcBorders>
              <w:top w:val="single" w:sz="4" w:space="0" w:color="auto"/>
              <w:left w:val="nil"/>
              <w:bottom w:val="single" w:sz="4" w:space="0" w:color="auto"/>
              <w:right w:val="nil"/>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300,0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300,0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100,0%</w:t>
            </w:r>
          </w:p>
        </w:tc>
      </w:tr>
      <w:tr w:rsidR="003043F3" w:rsidRPr="003043F3" w:rsidTr="00C253FC">
        <w:trPr>
          <w:trHeight w:val="7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Безвозмездные перечисления бюджетам</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250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34 324,9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11 228,3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23 096,6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32,7%</w:t>
            </w:r>
          </w:p>
        </w:tc>
      </w:tr>
      <w:tr w:rsidR="003043F3" w:rsidRPr="003043F3" w:rsidTr="003043F3">
        <w:trPr>
          <w:trHeight w:val="113"/>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C253FC">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Перечисления другим бюджетам бюджетной системы РФ</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251</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34 324,9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11 228,3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23 096,6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32,7%</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Прочие расходы</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290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5 209,3</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4 264,9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944,4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81,9%</w:t>
            </w:r>
          </w:p>
        </w:tc>
      </w:tr>
      <w:tr w:rsidR="003043F3" w:rsidRPr="003043F3" w:rsidTr="003043F3">
        <w:trPr>
          <w:trHeight w:val="25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Поступление нефинансовых активов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300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172 677,5</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165 483,7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7 193,8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b/>
                <w:bCs/>
                <w:sz w:val="20"/>
                <w:szCs w:val="20"/>
                <w:lang w:eastAsia="ru-RU"/>
              </w:rPr>
            </w:pPr>
            <w:r w:rsidRPr="003043F3">
              <w:rPr>
                <w:rFonts w:ascii="Times New Roman" w:eastAsia="Times New Roman" w:hAnsi="Times New Roman" w:cs="Times New Roman"/>
                <w:b/>
                <w:bCs/>
                <w:sz w:val="20"/>
                <w:szCs w:val="20"/>
                <w:lang w:eastAsia="ru-RU"/>
              </w:rPr>
              <w:t>95,8%</w:t>
            </w:r>
          </w:p>
        </w:tc>
      </w:tr>
      <w:tr w:rsidR="003043F3" w:rsidRPr="003043F3" w:rsidTr="00C253FC">
        <w:trPr>
          <w:trHeight w:val="84"/>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Увеличение стоимости основных средств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310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108 588,9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103 701,3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4 887,6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95,5%</w:t>
            </w:r>
          </w:p>
        </w:tc>
      </w:tr>
      <w:tr w:rsidR="003043F3" w:rsidRPr="003043F3" w:rsidTr="00C253FC">
        <w:trPr>
          <w:trHeight w:val="61"/>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Увеличение стоимости материальных запасов</w:t>
            </w:r>
          </w:p>
        </w:tc>
        <w:tc>
          <w:tcPr>
            <w:tcW w:w="619"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340</w:t>
            </w:r>
          </w:p>
        </w:tc>
        <w:tc>
          <w:tcPr>
            <w:tcW w:w="2074"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64 088,6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61 782,4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2 306,2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3043F3" w:rsidRPr="003043F3" w:rsidRDefault="003043F3" w:rsidP="003043F3">
            <w:pPr>
              <w:spacing w:after="0" w:line="240" w:lineRule="auto"/>
              <w:jc w:val="center"/>
              <w:rPr>
                <w:rFonts w:ascii="Times New Roman" w:eastAsia="Times New Roman" w:hAnsi="Times New Roman" w:cs="Times New Roman"/>
                <w:sz w:val="20"/>
                <w:szCs w:val="20"/>
                <w:lang w:eastAsia="ru-RU"/>
              </w:rPr>
            </w:pPr>
            <w:r w:rsidRPr="003043F3">
              <w:rPr>
                <w:rFonts w:ascii="Times New Roman" w:eastAsia="Times New Roman" w:hAnsi="Times New Roman" w:cs="Times New Roman"/>
                <w:sz w:val="20"/>
                <w:szCs w:val="20"/>
                <w:lang w:eastAsia="ru-RU"/>
              </w:rPr>
              <w:t>96,4%</w:t>
            </w:r>
          </w:p>
        </w:tc>
      </w:tr>
    </w:tbl>
    <w:p w:rsidR="00E052AA" w:rsidRDefault="00E052AA"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008DCEF1" wp14:editId="5B48A0F5">
            <wp:extent cx="6497905" cy="3147802"/>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bl>
      <w:tblPr>
        <w:tblW w:w="10334" w:type="dxa"/>
        <w:tblInd w:w="-459" w:type="dxa"/>
        <w:tblLook w:val="04A0" w:firstRow="1" w:lastRow="0" w:firstColumn="1" w:lastColumn="0" w:noHBand="0" w:noVBand="1"/>
      </w:tblPr>
      <w:tblGrid>
        <w:gridCol w:w="2552"/>
        <w:gridCol w:w="821"/>
        <w:gridCol w:w="734"/>
        <w:gridCol w:w="1275"/>
        <w:gridCol w:w="824"/>
        <w:gridCol w:w="1302"/>
        <w:gridCol w:w="766"/>
        <w:gridCol w:w="1216"/>
        <w:gridCol w:w="844"/>
      </w:tblGrid>
      <w:tr w:rsidR="007F038A" w:rsidRPr="007F038A" w:rsidTr="00C253FC">
        <w:trPr>
          <w:trHeight w:val="255"/>
        </w:trPr>
        <w:tc>
          <w:tcPr>
            <w:tcW w:w="10334" w:type="dxa"/>
            <w:gridSpan w:val="9"/>
            <w:tcBorders>
              <w:top w:val="nil"/>
              <w:left w:val="nil"/>
              <w:bottom w:val="nil"/>
              <w:right w:val="nil"/>
            </w:tcBorders>
            <w:shd w:val="clear" w:color="auto" w:fill="auto"/>
            <w:noWrap/>
            <w:vAlign w:val="bottom"/>
            <w:hideMark/>
          </w:tcPr>
          <w:p w:rsidR="007F038A" w:rsidRPr="00E0223C" w:rsidRDefault="007F038A" w:rsidP="007F038A">
            <w:pPr>
              <w:spacing w:after="0" w:line="240" w:lineRule="auto"/>
              <w:jc w:val="center"/>
              <w:rPr>
                <w:rFonts w:ascii="Times New Roman" w:eastAsia="Times New Roman" w:hAnsi="Times New Roman" w:cs="Times New Roman"/>
                <w:b/>
                <w:bCs/>
                <w:sz w:val="24"/>
                <w:szCs w:val="24"/>
                <w:lang w:eastAsia="ru-RU"/>
              </w:rPr>
            </w:pPr>
            <w:r w:rsidRPr="00E0223C">
              <w:rPr>
                <w:rFonts w:ascii="Times New Roman" w:eastAsia="Times New Roman" w:hAnsi="Times New Roman" w:cs="Times New Roman"/>
                <w:b/>
                <w:bCs/>
                <w:sz w:val="24"/>
                <w:szCs w:val="24"/>
                <w:lang w:eastAsia="ru-RU"/>
              </w:rPr>
              <w:lastRenderedPageBreak/>
              <w:t>Структура расходов консолидированного бюджета за 2012 год по ФКР</w:t>
            </w:r>
          </w:p>
        </w:tc>
      </w:tr>
      <w:tr w:rsidR="007F038A" w:rsidRPr="007F038A" w:rsidTr="00C253FC">
        <w:trPr>
          <w:trHeight w:val="255"/>
        </w:trPr>
        <w:tc>
          <w:tcPr>
            <w:tcW w:w="2552" w:type="dxa"/>
            <w:tcBorders>
              <w:top w:val="nil"/>
              <w:left w:val="nil"/>
              <w:bottom w:val="single" w:sz="4" w:space="0" w:color="auto"/>
              <w:right w:val="nil"/>
            </w:tcBorders>
            <w:shd w:val="clear" w:color="auto" w:fill="auto"/>
            <w:noWrap/>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p>
        </w:tc>
        <w:tc>
          <w:tcPr>
            <w:tcW w:w="734" w:type="dxa"/>
            <w:tcBorders>
              <w:top w:val="nil"/>
              <w:left w:val="nil"/>
              <w:bottom w:val="single" w:sz="4" w:space="0" w:color="auto"/>
              <w:right w:val="nil"/>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p>
        </w:tc>
        <w:tc>
          <w:tcPr>
            <w:tcW w:w="1275" w:type="dxa"/>
            <w:tcBorders>
              <w:top w:val="nil"/>
              <w:left w:val="nil"/>
              <w:bottom w:val="single" w:sz="4" w:space="0" w:color="auto"/>
              <w:right w:val="nil"/>
            </w:tcBorders>
            <w:shd w:val="clear" w:color="auto" w:fill="auto"/>
            <w:noWrap/>
            <w:vAlign w:val="bottom"/>
            <w:hideMark/>
          </w:tcPr>
          <w:p w:rsidR="007F038A" w:rsidRPr="007F038A" w:rsidRDefault="007F038A" w:rsidP="007F038A">
            <w:pPr>
              <w:spacing w:after="0" w:line="240" w:lineRule="auto"/>
              <w:jc w:val="right"/>
              <w:rPr>
                <w:rFonts w:ascii="Times New Roman" w:eastAsia="Times New Roman" w:hAnsi="Times New Roman" w:cs="Times New Roman"/>
                <w:sz w:val="20"/>
                <w:szCs w:val="20"/>
                <w:lang w:eastAsia="ru-RU"/>
              </w:rPr>
            </w:pPr>
          </w:p>
        </w:tc>
        <w:tc>
          <w:tcPr>
            <w:tcW w:w="824" w:type="dxa"/>
            <w:tcBorders>
              <w:top w:val="nil"/>
              <w:left w:val="nil"/>
              <w:bottom w:val="single" w:sz="4" w:space="0" w:color="auto"/>
              <w:right w:val="nil"/>
            </w:tcBorders>
            <w:shd w:val="clear" w:color="auto" w:fill="auto"/>
            <w:noWrap/>
            <w:vAlign w:val="bottom"/>
            <w:hideMark/>
          </w:tcPr>
          <w:p w:rsidR="007F038A" w:rsidRPr="007F038A" w:rsidRDefault="007F038A" w:rsidP="007F038A">
            <w:pPr>
              <w:spacing w:after="0" w:line="240" w:lineRule="auto"/>
              <w:jc w:val="right"/>
              <w:rPr>
                <w:rFonts w:ascii="Times New Roman" w:eastAsia="Times New Roman" w:hAnsi="Times New Roman" w:cs="Times New Roman"/>
                <w:sz w:val="20"/>
                <w:szCs w:val="20"/>
                <w:lang w:eastAsia="ru-RU"/>
              </w:rPr>
            </w:pPr>
          </w:p>
        </w:tc>
        <w:tc>
          <w:tcPr>
            <w:tcW w:w="1302" w:type="dxa"/>
            <w:tcBorders>
              <w:top w:val="nil"/>
              <w:left w:val="nil"/>
              <w:bottom w:val="single" w:sz="4" w:space="0" w:color="auto"/>
              <w:right w:val="nil"/>
            </w:tcBorders>
            <w:shd w:val="clear" w:color="auto" w:fill="auto"/>
            <w:noWrap/>
            <w:vAlign w:val="bottom"/>
            <w:hideMark/>
          </w:tcPr>
          <w:p w:rsidR="007F038A" w:rsidRPr="007F038A" w:rsidRDefault="007F038A" w:rsidP="007F038A">
            <w:pPr>
              <w:spacing w:after="0" w:line="240" w:lineRule="auto"/>
              <w:jc w:val="right"/>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ед. изм.</w:t>
            </w:r>
          </w:p>
        </w:tc>
        <w:tc>
          <w:tcPr>
            <w:tcW w:w="766" w:type="dxa"/>
            <w:tcBorders>
              <w:top w:val="nil"/>
              <w:left w:val="nil"/>
              <w:bottom w:val="single" w:sz="4" w:space="0" w:color="auto"/>
              <w:right w:val="nil"/>
            </w:tcBorders>
            <w:shd w:val="clear" w:color="auto" w:fill="auto"/>
            <w:noWrap/>
            <w:vAlign w:val="bottom"/>
            <w:hideMark/>
          </w:tcPr>
          <w:p w:rsidR="007F038A" w:rsidRPr="007F038A" w:rsidRDefault="007F038A" w:rsidP="007F038A">
            <w:pPr>
              <w:spacing w:after="0" w:line="240" w:lineRule="auto"/>
              <w:jc w:val="right"/>
              <w:rPr>
                <w:rFonts w:ascii="Times New Roman" w:eastAsia="Times New Roman" w:hAnsi="Times New Roman" w:cs="Times New Roman"/>
                <w:b/>
                <w:bCs/>
                <w:sz w:val="20"/>
                <w:szCs w:val="20"/>
                <w:lang w:eastAsia="ru-RU"/>
              </w:rPr>
            </w:pPr>
          </w:p>
        </w:tc>
        <w:tc>
          <w:tcPr>
            <w:tcW w:w="1216" w:type="dxa"/>
            <w:tcBorders>
              <w:top w:val="nil"/>
              <w:left w:val="nil"/>
              <w:bottom w:val="single" w:sz="4" w:space="0" w:color="auto"/>
              <w:right w:val="nil"/>
            </w:tcBorders>
            <w:shd w:val="clear" w:color="auto" w:fill="auto"/>
            <w:noWrap/>
            <w:vAlign w:val="bottom"/>
            <w:hideMark/>
          </w:tcPr>
          <w:p w:rsidR="007F038A" w:rsidRPr="007F038A" w:rsidRDefault="007F038A" w:rsidP="000926EF">
            <w:pPr>
              <w:spacing w:after="0" w:line="240" w:lineRule="auto"/>
              <w:jc w:val="right"/>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 xml:space="preserve">тыс. </w:t>
            </w:r>
          </w:p>
        </w:tc>
        <w:tc>
          <w:tcPr>
            <w:tcW w:w="844" w:type="dxa"/>
            <w:tcBorders>
              <w:top w:val="nil"/>
              <w:left w:val="nil"/>
              <w:bottom w:val="single" w:sz="4" w:space="0" w:color="auto"/>
              <w:right w:val="nil"/>
            </w:tcBorders>
            <w:shd w:val="clear" w:color="auto" w:fill="auto"/>
            <w:noWrap/>
            <w:vAlign w:val="bottom"/>
            <w:hideMark/>
          </w:tcPr>
          <w:p w:rsidR="007F038A" w:rsidRPr="007F038A" w:rsidRDefault="000926EF"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b/>
                <w:bCs/>
                <w:sz w:val="20"/>
                <w:szCs w:val="20"/>
                <w:lang w:eastAsia="ru-RU"/>
              </w:rPr>
              <w:t>рублей</w:t>
            </w:r>
          </w:p>
        </w:tc>
      </w:tr>
      <w:tr w:rsidR="007F038A" w:rsidRPr="007F038A" w:rsidTr="00C253FC">
        <w:trPr>
          <w:trHeight w:val="147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 xml:space="preserve">Раздел </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proofErr w:type="spellStart"/>
            <w:r w:rsidRPr="007F038A">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План</w:t>
            </w:r>
          </w:p>
        </w:tc>
        <w:tc>
          <w:tcPr>
            <w:tcW w:w="824" w:type="dxa"/>
            <w:tcBorders>
              <w:top w:val="single" w:sz="4" w:space="0" w:color="auto"/>
              <w:left w:val="nil"/>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Уд</w:t>
            </w:r>
            <w:proofErr w:type="gramStart"/>
            <w:r w:rsidRPr="007F038A">
              <w:rPr>
                <w:rFonts w:ascii="Times New Roman" w:eastAsia="Times New Roman" w:hAnsi="Times New Roman" w:cs="Times New Roman"/>
                <w:b/>
                <w:bCs/>
                <w:sz w:val="20"/>
                <w:szCs w:val="20"/>
                <w:lang w:eastAsia="ru-RU"/>
              </w:rPr>
              <w:t>.</w:t>
            </w:r>
            <w:proofErr w:type="gramEnd"/>
            <w:r w:rsidRPr="007F038A">
              <w:rPr>
                <w:rFonts w:ascii="Times New Roman" w:eastAsia="Times New Roman" w:hAnsi="Times New Roman" w:cs="Times New Roman"/>
                <w:b/>
                <w:bCs/>
                <w:sz w:val="20"/>
                <w:szCs w:val="20"/>
                <w:lang w:eastAsia="ru-RU"/>
              </w:rPr>
              <w:t xml:space="preserve"> </w:t>
            </w:r>
            <w:proofErr w:type="gramStart"/>
            <w:r w:rsidRPr="007F038A">
              <w:rPr>
                <w:rFonts w:ascii="Times New Roman" w:eastAsia="Times New Roman" w:hAnsi="Times New Roman" w:cs="Times New Roman"/>
                <w:b/>
                <w:bCs/>
                <w:sz w:val="20"/>
                <w:szCs w:val="20"/>
                <w:lang w:eastAsia="ru-RU"/>
              </w:rPr>
              <w:t>в</w:t>
            </w:r>
            <w:proofErr w:type="gramEnd"/>
            <w:r w:rsidRPr="007F038A">
              <w:rPr>
                <w:rFonts w:ascii="Times New Roman" w:eastAsia="Times New Roman" w:hAnsi="Times New Roman" w:cs="Times New Roman"/>
                <w:b/>
                <w:bCs/>
                <w:sz w:val="20"/>
                <w:szCs w:val="20"/>
                <w:lang w:eastAsia="ru-RU"/>
              </w:rPr>
              <w:t xml:space="preserve">ес в общ. сумме </w:t>
            </w:r>
            <w:proofErr w:type="spellStart"/>
            <w:r w:rsidRPr="007F038A">
              <w:rPr>
                <w:rFonts w:ascii="Times New Roman" w:eastAsia="Times New Roman" w:hAnsi="Times New Roman" w:cs="Times New Roman"/>
                <w:b/>
                <w:bCs/>
                <w:sz w:val="20"/>
                <w:szCs w:val="20"/>
                <w:lang w:eastAsia="ru-RU"/>
              </w:rPr>
              <w:t>расх</w:t>
            </w:r>
            <w:proofErr w:type="spellEnd"/>
            <w:r w:rsidRPr="007F038A">
              <w:rPr>
                <w:rFonts w:ascii="Times New Roman" w:eastAsia="Times New Roman" w:hAnsi="Times New Roman" w:cs="Times New Roman"/>
                <w:b/>
                <w:bCs/>
                <w:sz w:val="20"/>
                <w:szCs w:val="20"/>
                <w:lang w:eastAsia="ru-RU"/>
              </w:rPr>
              <w:t>.</w:t>
            </w:r>
            <w:r w:rsidRPr="007F038A">
              <w:rPr>
                <w:rFonts w:ascii="Times New Roman" w:eastAsia="Times New Roman" w:hAnsi="Times New Roman" w:cs="Times New Roman"/>
                <w:b/>
                <w:bCs/>
                <w:sz w:val="20"/>
                <w:szCs w:val="20"/>
                <w:lang w:eastAsia="ru-RU"/>
              </w:rPr>
              <w:br/>
              <w:t>%</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Факт</w:t>
            </w:r>
          </w:p>
        </w:tc>
        <w:tc>
          <w:tcPr>
            <w:tcW w:w="766" w:type="dxa"/>
            <w:tcBorders>
              <w:top w:val="single" w:sz="4" w:space="0" w:color="auto"/>
              <w:left w:val="nil"/>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Уд</w:t>
            </w:r>
            <w:proofErr w:type="gramStart"/>
            <w:r w:rsidRPr="007F038A">
              <w:rPr>
                <w:rFonts w:ascii="Times New Roman" w:eastAsia="Times New Roman" w:hAnsi="Times New Roman" w:cs="Times New Roman"/>
                <w:b/>
                <w:bCs/>
                <w:sz w:val="20"/>
                <w:szCs w:val="20"/>
                <w:lang w:eastAsia="ru-RU"/>
              </w:rPr>
              <w:t>.</w:t>
            </w:r>
            <w:proofErr w:type="gramEnd"/>
            <w:r w:rsidRPr="007F038A">
              <w:rPr>
                <w:rFonts w:ascii="Times New Roman" w:eastAsia="Times New Roman" w:hAnsi="Times New Roman" w:cs="Times New Roman"/>
                <w:b/>
                <w:bCs/>
                <w:sz w:val="20"/>
                <w:szCs w:val="20"/>
                <w:lang w:eastAsia="ru-RU"/>
              </w:rPr>
              <w:t xml:space="preserve"> </w:t>
            </w:r>
            <w:proofErr w:type="gramStart"/>
            <w:r w:rsidRPr="007F038A">
              <w:rPr>
                <w:rFonts w:ascii="Times New Roman" w:eastAsia="Times New Roman" w:hAnsi="Times New Roman" w:cs="Times New Roman"/>
                <w:b/>
                <w:bCs/>
                <w:sz w:val="20"/>
                <w:szCs w:val="20"/>
                <w:lang w:eastAsia="ru-RU"/>
              </w:rPr>
              <w:t>в</w:t>
            </w:r>
            <w:proofErr w:type="gramEnd"/>
            <w:r w:rsidRPr="007F038A">
              <w:rPr>
                <w:rFonts w:ascii="Times New Roman" w:eastAsia="Times New Roman" w:hAnsi="Times New Roman" w:cs="Times New Roman"/>
                <w:b/>
                <w:bCs/>
                <w:sz w:val="20"/>
                <w:szCs w:val="20"/>
                <w:lang w:eastAsia="ru-RU"/>
              </w:rPr>
              <w:t xml:space="preserve">ес в общ. сумме </w:t>
            </w:r>
            <w:proofErr w:type="spellStart"/>
            <w:r w:rsidRPr="007F038A">
              <w:rPr>
                <w:rFonts w:ascii="Times New Roman" w:eastAsia="Times New Roman" w:hAnsi="Times New Roman" w:cs="Times New Roman"/>
                <w:b/>
                <w:bCs/>
                <w:sz w:val="20"/>
                <w:szCs w:val="20"/>
                <w:lang w:eastAsia="ru-RU"/>
              </w:rPr>
              <w:t>расх</w:t>
            </w:r>
            <w:proofErr w:type="spellEnd"/>
            <w:r w:rsidRPr="007F038A">
              <w:rPr>
                <w:rFonts w:ascii="Times New Roman" w:eastAsia="Times New Roman" w:hAnsi="Times New Roman" w:cs="Times New Roman"/>
                <w:b/>
                <w:bCs/>
                <w:sz w:val="20"/>
                <w:szCs w:val="20"/>
                <w:lang w:eastAsia="ru-RU"/>
              </w:rPr>
              <w:t>.</w:t>
            </w:r>
            <w:r w:rsidRPr="007F038A">
              <w:rPr>
                <w:rFonts w:ascii="Times New Roman" w:eastAsia="Times New Roman" w:hAnsi="Times New Roman" w:cs="Times New Roman"/>
                <w:b/>
                <w:bCs/>
                <w:sz w:val="20"/>
                <w:szCs w:val="20"/>
                <w:lang w:eastAsia="ru-RU"/>
              </w:rPr>
              <w:br/>
              <w:t>%</w:t>
            </w:r>
          </w:p>
        </w:tc>
        <w:tc>
          <w:tcPr>
            <w:tcW w:w="1216" w:type="dxa"/>
            <w:tcBorders>
              <w:top w:val="single" w:sz="4" w:space="0" w:color="auto"/>
              <w:left w:val="nil"/>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proofErr w:type="spellStart"/>
            <w:r w:rsidRPr="007F038A">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80 623 682,4</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 </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77 531 881,5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 </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3 091 800,9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96,2%</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8 227 083,9</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10,2</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7 996 030,4</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231 053,5</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97,2%</w:t>
            </w:r>
          </w:p>
        </w:tc>
      </w:tr>
      <w:tr w:rsidR="007F038A" w:rsidRPr="007F038A" w:rsidTr="00C253FC">
        <w:trPr>
          <w:trHeight w:val="87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978 466,9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976 853,8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1 613,0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99,8%</w:t>
            </w:r>
          </w:p>
        </w:tc>
      </w:tr>
      <w:tr w:rsidR="007F038A" w:rsidRPr="007F038A" w:rsidTr="00C253FC">
        <w:trPr>
          <w:trHeight w:val="11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540 234,4</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511 151,3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29 083,2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94,6%</w:t>
            </w:r>
          </w:p>
        </w:tc>
      </w:tr>
      <w:tr w:rsidR="007F038A" w:rsidRPr="007F038A" w:rsidTr="00C253FC">
        <w:trPr>
          <w:trHeight w:val="127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1 467 897,1</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1 417 592,4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50 304,7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96,6%</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299 725,9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287 513,4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12 212,5</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95,9%</w:t>
            </w:r>
          </w:p>
        </w:tc>
      </w:tr>
      <w:tr w:rsidR="007F038A" w:rsidRPr="007F038A" w:rsidTr="00C253FC">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747 374,7</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715 835,0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31 539,8</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95,8%</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Обеспечение проведения выборов и референдумов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82 256,0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81 756,0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500,0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99,4%</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Фундаментальные исследования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75 486,4</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73 066,5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2 419,9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96,8%</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48 711,7</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3 502,5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45 209,2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7,2%</w:t>
            </w:r>
          </w:p>
        </w:tc>
      </w:tr>
      <w:tr w:rsidR="007F038A" w:rsidRPr="007F038A" w:rsidTr="00C253FC">
        <w:trPr>
          <w:trHeight w:val="5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Прикладные научные исследования в области общегосударственных вопросов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18 502,6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16 252,2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2 250,4</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87,8%</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3 968 428,3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4,9</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3 912 507,4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55 920,9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98,6%</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color w:val="000000"/>
                <w:sz w:val="20"/>
                <w:szCs w:val="20"/>
                <w:lang w:eastAsia="ru-RU"/>
              </w:rPr>
            </w:pPr>
            <w:r w:rsidRPr="007F038A">
              <w:rPr>
                <w:rFonts w:ascii="Times New Roman" w:eastAsia="Times New Roman" w:hAnsi="Times New Roman" w:cs="Times New Roman"/>
                <w:b/>
                <w:bCs/>
                <w:color w:val="000000"/>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02</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29 474,9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29 454,7</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20,2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99,9%</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29 474,9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29 454,7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20,2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99,9%</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color w:val="000000"/>
                <w:sz w:val="20"/>
                <w:szCs w:val="20"/>
                <w:lang w:eastAsia="ru-RU"/>
              </w:rPr>
            </w:pPr>
            <w:r w:rsidRPr="007F038A">
              <w:rPr>
                <w:rFonts w:ascii="Times New Roman" w:eastAsia="Times New Roman" w:hAnsi="Times New Roman" w:cs="Times New Roman"/>
                <w:b/>
                <w:bCs/>
                <w:color w:val="000000"/>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365 629,7</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0,5</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327 771,2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0,4</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37 858,5</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89,6%</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color w:val="000000"/>
                <w:sz w:val="20"/>
                <w:szCs w:val="20"/>
                <w:lang w:eastAsia="ru-RU"/>
              </w:rPr>
            </w:pPr>
            <w:r w:rsidRPr="007F038A">
              <w:rPr>
                <w:rFonts w:ascii="Times New Roman" w:eastAsia="Times New Roman" w:hAnsi="Times New Roman" w:cs="Times New Roman"/>
                <w:color w:val="000000"/>
                <w:sz w:val="20"/>
                <w:szCs w:val="20"/>
                <w:lang w:eastAsia="ru-RU"/>
              </w:rPr>
              <w:t>Органы юстиции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93 775,0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88 375,0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5 400,0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94,2%</w:t>
            </w:r>
          </w:p>
        </w:tc>
      </w:tr>
      <w:tr w:rsidR="007F038A" w:rsidRPr="007F038A" w:rsidTr="00C253FC">
        <w:trPr>
          <w:trHeight w:val="108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lastRenderedPageBreak/>
              <w:t>Защита населения и территории от последствий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189 147,7</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165 344,4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23 803,3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87,4%</w:t>
            </w:r>
          </w:p>
        </w:tc>
      </w:tr>
      <w:tr w:rsidR="007F038A" w:rsidRPr="007F038A" w:rsidTr="00C253FC">
        <w:trPr>
          <w:trHeight w:val="52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Обеспечение противопожарной безопасности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82 637,0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73 981,8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8 655,2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89,5%</w:t>
            </w:r>
          </w:p>
        </w:tc>
      </w:tr>
      <w:tr w:rsidR="007F038A" w:rsidRPr="007F038A" w:rsidTr="00C253FC">
        <w:trPr>
          <w:trHeight w:val="79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национальной безопасности и правоохранительной деятельности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70,0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100,0%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12 389 863,4</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15,4</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11 213 100,2</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14,5</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1 176 763,3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90,5%</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Общеэкономические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568 303,9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559 137,3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9 166,6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98,4%</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Топливно-энергетический комплекс</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42 913,8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42 169,9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743,9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2 721 286,2</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3,4</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2 687 421,2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3,5</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33 865,1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98,8%</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Водное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54 418,3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54 418,3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100,0%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Лесное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236 331,8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234 306,7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2 025,1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99,1%</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Транспорт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08</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724 382,8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709 235,2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15 147,6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97,9%</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Дорожное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4 069 667,2</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3 796 477,6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273 189,5</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93,3%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Связь и информатика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202 558,4</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149 146,8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53 411,6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73,6%</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Прикладные научные исследования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21 034,1</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20 328,6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705,5</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96,6%</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3 748 966,9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4,6</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2 960 458,6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788 508,3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79,0%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color w:val="000000"/>
                <w:sz w:val="20"/>
                <w:szCs w:val="20"/>
                <w:lang w:eastAsia="ru-RU"/>
              </w:rPr>
            </w:pPr>
            <w:r w:rsidRPr="007F038A">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05</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8 368 641,4</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10,4</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8 234 092,8</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10,6</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134 548,6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98,4%</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2 462 517,5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2 398 953,1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63 564,4</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97,4%</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4 225 256,9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4 218 652,3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5,4</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6 604,6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99,8%</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1 562 740,9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1,9</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1 499 521,5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63 219,4</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96,0%</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118 126,1</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116 966,0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1 160,2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Охрана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06</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81 949,9</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81 649,9</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300,0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99,6%</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Экологический контроль</w:t>
            </w:r>
          </w:p>
        </w:tc>
        <w:tc>
          <w:tcPr>
            <w:tcW w:w="821" w:type="dxa"/>
            <w:tcBorders>
              <w:top w:val="single" w:sz="4" w:space="0" w:color="auto"/>
              <w:left w:val="nil"/>
              <w:bottom w:val="single" w:sz="4" w:space="0" w:color="auto"/>
              <w:right w:val="single" w:sz="4" w:space="0" w:color="auto"/>
            </w:tcBorders>
            <w:shd w:val="clear" w:color="000000" w:fill="FFFFFF"/>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734" w:type="dxa"/>
            <w:tcBorders>
              <w:top w:val="single" w:sz="4" w:space="0" w:color="auto"/>
              <w:left w:val="nil"/>
              <w:bottom w:val="single" w:sz="4" w:space="0" w:color="auto"/>
              <w:right w:val="single" w:sz="4" w:space="0" w:color="auto"/>
            </w:tcBorders>
            <w:shd w:val="clear" w:color="000000" w:fill="FFFFFF"/>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000000" w:fill="FFFFFF"/>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25 450,0</w:t>
            </w:r>
          </w:p>
        </w:tc>
        <w:tc>
          <w:tcPr>
            <w:tcW w:w="824" w:type="dxa"/>
            <w:tcBorders>
              <w:top w:val="single" w:sz="4" w:space="0" w:color="auto"/>
              <w:left w:val="nil"/>
              <w:bottom w:val="single" w:sz="4" w:space="0" w:color="auto"/>
              <w:right w:val="single" w:sz="4" w:space="0" w:color="auto"/>
            </w:tcBorders>
            <w:shd w:val="clear" w:color="000000" w:fill="FFFFFF"/>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000000" w:fill="FFFFFF"/>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25 450,0</w:t>
            </w:r>
          </w:p>
        </w:tc>
        <w:tc>
          <w:tcPr>
            <w:tcW w:w="766" w:type="dxa"/>
            <w:tcBorders>
              <w:top w:val="single" w:sz="4" w:space="0" w:color="auto"/>
              <w:left w:val="nil"/>
              <w:bottom w:val="single" w:sz="4" w:space="0" w:color="auto"/>
              <w:right w:val="single" w:sz="4" w:space="0" w:color="auto"/>
            </w:tcBorders>
            <w:shd w:val="clear" w:color="000000" w:fill="FFFFFF"/>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100,0%</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Охрана объектов растительного и животного мира и среды их обитания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8 726,4</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8 676,4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99,4%</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Прикладные научные исследования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18 810,0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18 810,0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100,0%</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28 963,5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28 713,5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250,0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99,1%</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20 249 453,9</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25,1</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19 748 016,9</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25,5</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501 437,1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97,5%</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2 991 079,5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2 968 823,9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22 255,6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13 994 701,8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17,4</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13 800 530,0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17,8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194 171,7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98,6%</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 xml:space="preserve">Начальное профессиональное </w:t>
            </w:r>
            <w:r w:rsidRPr="007F038A">
              <w:rPr>
                <w:rFonts w:ascii="Times New Roman" w:eastAsia="Times New Roman" w:hAnsi="Times New Roman" w:cs="Times New Roman"/>
                <w:sz w:val="20"/>
                <w:szCs w:val="20"/>
                <w:lang w:eastAsia="ru-RU"/>
              </w:rPr>
              <w:lastRenderedPageBreak/>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lastRenderedPageBreak/>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397 557,6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357 814,5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39 743,0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90,0%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lastRenderedPageBreak/>
              <w:t>Среднее профессиональное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843 719,7</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800 229,3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43 490,4</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94,8%</w:t>
            </w:r>
          </w:p>
        </w:tc>
      </w:tr>
      <w:tr w:rsidR="007F038A" w:rsidRPr="007F038A" w:rsidTr="00C253FC">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Профессиональная подготовка, переподготовка и повышение квалификации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46 430,5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46 087,2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343,3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99,3%</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Молодежная политика и оздоровление детей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741 620,4</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728 415,7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13 204,7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98,2%</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Прикладные научные исследования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08</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10 080,8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9 282,2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798,6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92,1%</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1 224 263,8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1,5</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1 036 834,0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187 429,7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84,7%</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08</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3 003 491,6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2 871 434,7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3,7</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132 056,9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95,6%</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08</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2 628 004,1</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3,3</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2 529 854,8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98 149,2</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96,3%</w:t>
            </w:r>
          </w:p>
        </w:tc>
      </w:tr>
      <w:tr w:rsidR="007F038A" w:rsidRPr="007F038A" w:rsidTr="00C253FC">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культуры, кинематографии и средств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08</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375 487,6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341 579,9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33 907,7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91,0%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12 374 556,4</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15,3</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12 147 921,4</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15,7</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226 635,1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98,2%</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5 490 564,9</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6,8</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5 353 568,5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136 996,4</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97,5%</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613 879,1</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0,8</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582 400,8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31 478,3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94,9%</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Скорая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139 541,0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137 171,2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2 369,9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98,3%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Санаторно-оздоровительная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689 603,8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689 598,6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100,0%</w:t>
            </w:r>
          </w:p>
        </w:tc>
      </w:tr>
      <w:tr w:rsidR="007F038A" w:rsidRPr="007F038A" w:rsidTr="00C253FC">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Заготовка, переработка, хранение и обеспечение безопасности донорской крови и ее компонентов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72 181,5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61 085,2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11 096,3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84,6%</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5 368 786,0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5 324 097,1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44 688,9</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99,2%</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12 709 703,8</w:t>
            </w:r>
          </w:p>
        </w:tc>
        <w:tc>
          <w:tcPr>
            <w:tcW w:w="824"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15,8</w:t>
            </w:r>
          </w:p>
        </w:tc>
        <w:tc>
          <w:tcPr>
            <w:tcW w:w="1302"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12 193 626,2</w:t>
            </w:r>
          </w:p>
        </w:tc>
        <w:tc>
          <w:tcPr>
            <w:tcW w:w="766" w:type="dxa"/>
            <w:tcBorders>
              <w:top w:val="single" w:sz="4" w:space="0" w:color="auto"/>
              <w:left w:val="nil"/>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15,7</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516 077,7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95,9%</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Пенсионное обеспечение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290 436,5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247 648,6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42 788,0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85,3%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1 606 056,5</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1 460 133,8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1,9</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145 922,7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90,9%</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10 202 648,0</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9 908 142,2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12,8</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294 505,7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97,1%</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334 642,3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315 441,6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19 200,7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94,3%</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06</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275 920,6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262 260,0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13 660,6</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95,0%</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1 806 382,8</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1 723 018,8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83 364,1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95,4%</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599 690,2</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573 369,2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0,7</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26 321,0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95,6%</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Массовый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189 310,3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136 810,3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52 500,0</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72,3%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Спорт высших достижений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882 871,6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882 848,5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23,1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100,0%</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Прикладные научные исследования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634,1</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634,1</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0,0%</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11</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133 876,6</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129 990,8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3 885,8</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97,1%</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 xml:space="preserve">Средства массовой </w:t>
            </w:r>
            <w:r w:rsidRPr="007F038A">
              <w:rPr>
                <w:rFonts w:ascii="Times New Roman" w:eastAsia="Times New Roman" w:hAnsi="Times New Roman" w:cs="Times New Roman"/>
                <w:b/>
                <w:bCs/>
                <w:sz w:val="20"/>
                <w:szCs w:val="20"/>
                <w:lang w:eastAsia="ru-RU"/>
              </w:rPr>
              <w:lastRenderedPageBreak/>
              <w:t>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lastRenderedPageBreak/>
              <w:t>12</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839 657,3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812 365,5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1,0</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27 291,8</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96,7%</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lastRenderedPageBreak/>
              <w:t>Телевидение и радиовещание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261 624,3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251 865,6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9 758,7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96,3%</w:t>
            </w:r>
          </w:p>
        </w:tc>
      </w:tr>
      <w:tr w:rsidR="007F038A" w:rsidRPr="007F038A"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248 113,7</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247 673,0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0,3</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440,7</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99,8%</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Другие вопросы в области средств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12</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329 919,3</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312 826,9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0,4</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17 092,4</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94,8%</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00</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177 793,2</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153 398,9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24 394,3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b/>
                <w:bCs/>
                <w:sz w:val="20"/>
                <w:szCs w:val="20"/>
                <w:lang w:eastAsia="ru-RU"/>
              </w:rPr>
            </w:pPr>
            <w:r w:rsidRPr="007F038A">
              <w:rPr>
                <w:rFonts w:ascii="Times New Roman" w:eastAsia="Times New Roman" w:hAnsi="Times New Roman" w:cs="Times New Roman"/>
                <w:b/>
                <w:bCs/>
                <w:sz w:val="20"/>
                <w:szCs w:val="20"/>
                <w:lang w:eastAsia="ru-RU"/>
              </w:rPr>
              <w:t>86,3%</w:t>
            </w:r>
          </w:p>
        </w:tc>
      </w:tr>
      <w:tr w:rsidR="007F038A" w:rsidRPr="007F038A"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38A" w:rsidRPr="007F038A" w:rsidRDefault="007F038A" w:rsidP="007F038A">
            <w:pPr>
              <w:spacing w:after="0" w:line="240" w:lineRule="auto"/>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13</w:t>
            </w:r>
          </w:p>
        </w:tc>
        <w:tc>
          <w:tcPr>
            <w:tcW w:w="73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177 793,2</w:t>
            </w:r>
          </w:p>
        </w:tc>
        <w:tc>
          <w:tcPr>
            <w:tcW w:w="82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302"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153 398,9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0,2</w:t>
            </w:r>
          </w:p>
        </w:tc>
        <w:tc>
          <w:tcPr>
            <w:tcW w:w="1216"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24 394,3</w:t>
            </w:r>
          </w:p>
        </w:tc>
        <w:tc>
          <w:tcPr>
            <w:tcW w:w="844" w:type="dxa"/>
            <w:tcBorders>
              <w:top w:val="single" w:sz="4" w:space="0" w:color="auto"/>
              <w:left w:val="nil"/>
              <w:bottom w:val="single" w:sz="4" w:space="0" w:color="auto"/>
              <w:right w:val="single" w:sz="4" w:space="0" w:color="auto"/>
            </w:tcBorders>
            <w:shd w:val="clear" w:color="auto" w:fill="auto"/>
            <w:noWrap/>
            <w:vAlign w:val="center"/>
            <w:hideMark/>
          </w:tcPr>
          <w:p w:rsidR="007F038A" w:rsidRPr="007F038A" w:rsidRDefault="007F038A" w:rsidP="007F038A">
            <w:pPr>
              <w:spacing w:after="0" w:line="240" w:lineRule="auto"/>
              <w:jc w:val="center"/>
              <w:rPr>
                <w:rFonts w:ascii="Times New Roman" w:eastAsia="Times New Roman" w:hAnsi="Times New Roman" w:cs="Times New Roman"/>
                <w:sz w:val="20"/>
                <w:szCs w:val="20"/>
                <w:lang w:eastAsia="ru-RU"/>
              </w:rPr>
            </w:pPr>
            <w:r w:rsidRPr="007F038A">
              <w:rPr>
                <w:rFonts w:ascii="Times New Roman" w:eastAsia="Times New Roman" w:hAnsi="Times New Roman" w:cs="Times New Roman"/>
                <w:sz w:val="20"/>
                <w:szCs w:val="20"/>
                <w:lang w:eastAsia="ru-RU"/>
              </w:rPr>
              <w:t>86,3%</w:t>
            </w:r>
          </w:p>
        </w:tc>
      </w:tr>
    </w:tbl>
    <w:p w:rsidR="007F038A" w:rsidRDefault="007F038A" w:rsidP="00A05F1A">
      <w:pPr>
        <w:spacing w:after="0" w:line="360" w:lineRule="auto"/>
        <w:ind w:left="-567"/>
        <w:jc w:val="both"/>
        <w:rPr>
          <w:rFonts w:ascii="Times New Roman" w:hAnsi="Times New Roman" w:cs="Times New Roman"/>
          <w:b/>
          <w:sz w:val="24"/>
          <w:szCs w:val="24"/>
        </w:rPr>
      </w:pPr>
    </w:p>
    <w:p w:rsidR="00C253FC" w:rsidRDefault="00C253FC" w:rsidP="00A05F1A">
      <w:pPr>
        <w:spacing w:after="0" w:line="360" w:lineRule="auto"/>
        <w:ind w:left="-567"/>
        <w:jc w:val="both"/>
        <w:rPr>
          <w:rFonts w:ascii="Times New Roman" w:hAnsi="Times New Roman" w:cs="Times New Roman"/>
          <w:b/>
          <w:sz w:val="24"/>
          <w:szCs w:val="24"/>
        </w:rPr>
      </w:pPr>
    </w:p>
    <w:p w:rsidR="000926EF" w:rsidRDefault="000926EF" w:rsidP="00A05F1A">
      <w:pPr>
        <w:spacing w:after="0" w:line="360" w:lineRule="auto"/>
        <w:ind w:left="-567"/>
        <w:jc w:val="both"/>
        <w:rPr>
          <w:rFonts w:ascii="Times New Roman" w:hAnsi="Times New Roman" w:cs="Times New Roman"/>
          <w:b/>
          <w:sz w:val="24"/>
          <w:szCs w:val="24"/>
        </w:rPr>
      </w:pPr>
    </w:p>
    <w:tbl>
      <w:tblPr>
        <w:tblW w:w="10348" w:type="dxa"/>
        <w:tblInd w:w="-459" w:type="dxa"/>
        <w:tblLook w:val="04A0" w:firstRow="1" w:lastRow="0" w:firstColumn="1" w:lastColumn="0" w:noHBand="0" w:noVBand="1"/>
      </w:tblPr>
      <w:tblGrid>
        <w:gridCol w:w="2552"/>
        <w:gridCol w:w="821"/>
        <w:gridCol w:w="738"/>
        <w:gridCol w:w="1276"/>
        <w:gridCol w:w="766"/>
        <w:gridCol w:w="1360"/>
        <w:gridCol w:w="766"/>
        <w:gridCol w:w="1219"/>
        <w:gridCol w:w="866"/>
      </w:tblGrid>
      <w:tr w:rsidR="00C253FC" w:rsidRPr="000926EF" w:rsidTr="00C253FC">
        <w:trPr>
          <w:trHeight w:val="255"/>
        </w:trPr>
        <w:tc>
          <w:tcPr>
            <w:tcW w:w="10348" w:type="dxa"/>
            <w:gridSpan w:val="9"/>
            <w:tcBorders>
              <w:top w:val="nil"/>
              <w:left w:val="nil"/>
              <w:bottom w:val="nil"/>
              <w:right w:val="nil"/>
            </w:tcBorders>
            <w:shd w:val="clear" w:color="auto" w:fill="auto"/>
            <w:noWrap/>
            <w:vAlign w:val="bottom"/>
            <w:hideMark/>
          </w:tcPr>
          <w:p w:rsidR="000926EF" w:rsidRPr="000926EF" w:rsidRDefault="00C16CA0" w:rsidP="00C16CA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Структура р</w:t>
            </w:r>
            <w:r w:rsidR="000926EF" w:rsidRPr="000926EF">
              <w:rPr>
                <w:rFonts w:ascii="Times New Roman" w:eastAsia="Times New Roman" w:hAnsi="Times New Roman" w:cs="Times New Roman"/>
                <w:b/>
                <w:bCs/>
                <w:sz w:val="24"/>
                <w:szCs w:val="24"/>
                <w:lang w:eastAsia="ru-RU"/>
              </w:rPr>
              <w:t>асход</w:t>
            </w:r>
            <w:r>
              <w:rPr>
                <w:rFonts w:ascii="Times New Roman" w:eastAsia="Times New Roman" w:hAnsi="Times New Roman" w:cs="Times New Roman"/>
                <w:b/>
                <w:bCs/>
                <w:sz w:val="24"/>
                <w:szCs w:val="24"/>
                <w:lang w:eastAsia="ru-RU"/>
              </w:rPr>
              <w:t>ов</w:t>
            </w:r>
            <w:r w:rsidR="000926EF" w:rsidRPr="000926EF">
              <w:rPr>
                <w:rFonts w:ascii="Times New Roman" w:eastAsia="Times New Roman" w:hAnsi="Times New Roman" w:cs="Times New Roman"/>
                <w:b/>
                <w:bCs/>
                <w:sz w:val="24"/>
                <w:szCs w:val="24"/>
                <w:lang w:eastAsia="ru-RU"/>
              </w:rPr>
              <w:t xml:space="preserve"> республиканского бюджета за 2012 год по ФКР</w:t>
            </w:r>
          </w:p>
        </w:tc>
      </w:tr>
      <w:tr w:rsidR="00C253FC" w:rsidRPr="000926EF" w:rsidTr="00C253FC">
        <w:trPr>
          <w:trHeight w:val="255"/>
        </w:trPr>
        <w:tc>
          <w:tcPr>
            <w:tcW w:w="2552" w:type="dxa"/>
            <w:tcBorders>
              <w:top w:val="nil"/>
              <w:left w:val="nil"/>
              <w:bottom w:val="single" w:sz="4" w:space="0" w:color="auto"/>
              <w:right w:val="nil"/>
            </w:tcBorders>
            <w:shd w:val="clear" w:color="auto" w:fill="auto"/>
            <w:noWrap/>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p>
        </w:tc>
        <w:tc>
          <w:tcPr>
            <w:tcW w:w="738" w:type="dxa"/>
            <w:tcBorders>
              <w:top w:val="nil"/>
              <w:left w:val="nil"/>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p>
        </w:tc>
        <w:tc>
          <w:tcPr>
            <w:tcW w:w="766" w:type="dxa"/>
            <w:tcBorders>
              <w:top w:val="nil"/>
              <w:left w:val="nil"/>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p>
        </w:tc>
        <w:tc>
          <w:tcPr>
            <w:tcW w:w="1360" w:type="dxa"/>
            <w:tcBorders>
              <w:top w:val="nil"/>
              <w:left w:val="nil"/>
              <w:bottom w:val="single" w:sz="4" w:space="0" w:color="auto"/>
              <w:right w:val="nil"/>
            </w:tcBorders>
            <w:shd w:val="clear" w:color="auto" w:fill="auto"/>
            <w:noWrap/>
            <w:vAlign w:val="bottom"/>
            <w:hideMark/>
          </w:tcPr>
          <w:p w:rsidR="000926EF" w:rsidRPr="000926EF" w:rsidRDefault="000926EF" w:rsidP="000926EF">
            <w:pPr>
              <w:spacing w:after="0" w:line="240" w:lineRule="auto"/>
              <w:jc w:val="right"/>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ед. изм.</w:t>
            </w:r>
          </w:p>
        </w:tc>
        <w:tc>
          <w:tcPr>
            <w:tcW w:w="766" w:type="dxa"/>
            <w:tcBorders>
              <w:top w:val="nil"/>
              <w:left w:val="nil"/>
              <w:bottom w:val="single" w:sz="4" w:space="0" w:color="auto"/>
              <w:right w:val="nil"/>
            </w:tcBorders>
            <w:shd w:val="clear" w:color="auto" w:fill="auto"/>
            <w:noWrap/>
            <w:vAlign w:val="bottom"/>
            <w:hideMark/>
          </w:tcPr>
          <w:p w:rsidR="000926EF" w:rsidRPr="000926EF" w:rsidRDefault="000926EF" w:rsidP="000926EF">
            <w:pPr>
              <w:spacing w:after="0" w:line="240" w:lineRule="auto"/>
              <w:jc w:val="right"/>
              <w:rPr>
                <w:rFonts w:ascii="Times New Roman" w:eastAsia="Times New Roman" w:hAnsi="Times New Roman" w:cs="Times New Roman"/>
                <w:b/>
                <w:bCs/>
                <w:sz w:val="20"/>
                <w:szCs w:val="20"/>
                <w:lang w:eastAsia="ru-RU"/>
              </w:rPr>
            </w:pPr>
          </w:p>
        </w:tc>
        <w:tc>
          <w:tcPr>
            <w:tcW w:w="1219" w:type="dxa"/>
            <w:tcBorders>
              <w:top w:val="nil"/>
              <w:left w:val="nil"/>
              <w:bottom w:val="single" w:sz="4" w:space="0" w:color="auto"/>
              <w:right w:val="nil"/>
            </w:tcBorders>
            <w:shd w:val="clear" w:color="auto" w:fill="auto"/>
            <w:noWrap/>
            <w:vAlign w:val="bottom"/>
            <w:hideMark/>
          </w:tcPr>
          <w:p w:rsidR="000926EF" w:rsidRPr="000926EF" w:rsidRDefault="000926EF" w:rsidP="00C253FC">
            <w:pPr>
              <w:spacing w:after="0" w:line="240" w:lineRule="auto"/>
              <w:jc w:val="right"/>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 xml:space="preserve">тыс. </w:t>
            </w:r>
          </w:p>
        </w:tc>
        <w:tc>
          <w:tcPr>
            <w:tcW w:w="850" w:type="dxa"/>
            <w:tcBorders>
              <w:top w:val="nil"/>
              <w:left w:val="nil"/>
              <w:bottom w:val="single" w:sz="4" w:space="0" w:color="auto"/>
              <w:right w:val="nil"/>
            </w:tcBorders>
            <w:shd w:val="clear" w:color="auto" w:fill="auto"/>
            <w:noWrap/>
            <w:vAlign w:val="bottom"/>
            <w:hideMark/>
          </w:tcPr>
          <w:p w:rsidR="000926EF" w:rsidRPr="000926EF" w:rsidRDefault="00C253FC"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b/>
                <w:bCs/>
                <w:sz w:val="20"/>
                <w:szCs w:val="20"/>
                <w:lang w:eastAsia="ru-RU"/>
              </w:rPr>
              <w:t>рублей</w:t>
            </w:r>
          </w:p>
        </w:tc>
      </w:tr>
      <w:tr w:rsidR="00C253FC" w:rsidRPr="000926EF" w:rsidTr="00C253FC">
        <w:trPr>
          <w:trHeight w:val="114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 xml:space="preserve">Раздел </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C253FC">
            <w:pPr>
              <w:spacing w:after="0" w:line="240" w:lineRule="auto"/>
              <w:jc w:val="center"/>
              <w:rPr>
                <w:rFonts w:ascii="Times New Roman" w:eastAsia="Times New Roman" w:hAnsi="Times New Roman" w:cs="Times New Roman"/>
                <w:b/>
                <w:bCs/>
                <w:sz w:val="20"/>
                <w:szCs w:val="20"/>
                <w:lang w:eastAsia="ru-RU"/>
              </w:rPr>
            </w:pPr>
            <w:proofErr w:type="spellStart"/>
            <w:r w:rsidRPr="000926EF">
              <w:rPr>
                <w:rFonts w:ascii="Times New Roman" w:eastAsia="Times New Roman" w:hAnsi="Times New Roman" w:cs="Times New Roman"/>
                <w:b/>
                <w:bCs/>
                <w:sz w:val="20"/>
                <w:szCs w:val="20"/>
                <w:lang w:eastAsia="ru-RU"/>
              </w:rPr>
              <w:t>Подр</w:t>
            </w:r>
            <w:proofErr w:type="spellEnd"/>
            <w:r w:rsidR="00C253FC">
              <w:rPr>
                <w:rFonts w:ascii="Times New Roman" w:eastAsia="Times New Roman" w:hAnsi="Times New Roman" w:cs="Times New Roman"/>
                <w:b/>
                <w:bCs/>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План</w:t>
            </w:r>
          </w:p>
        </w:tc>
        <w:tc>
          <w:tcPr>
            <w:tcW w:w="766" w:type="dxa"/>
            <w:tcBorders>
              <w:top w:val="single" w:sz="4" w:space="0" w:color="auto"/>
              <w:left w:val="nil"/>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Уд</w:t>
            </w:r>
            <w:proofErr w:type="gramStart"/>
            <w:r w:rsidRPr="000926EF">
              <w:rPr>
                <w:rFonts w:ascii="Times New Roman" w:eastAsia="Times New Roman" w:hAnsi="Times New Roman" w:cs="Times New Roman"/>
                <w:b/>
                <w:bCs/>
                <w:sz w:val="20"/>
                <w:szCs w:val="20"/>
                <w:lang w:eastAsia="ru-RU"/>
              </w:rPr>
              <w:t>.</w:t>
            </w:r>
            <w:proofErr w:type="gramEnd"/>
            <w:r w:rsidRPr="000926EF">
              <w:rPr>
                <w:rFonts w:ascii="Times New Roman" w:eastAsia="Times New Roman" w:hAnsi="Times New Roman" w:cs="Times New Roman"/>
                <w:b/>
                <w:bCs/>
                <w:sz w:val="20"/>
                <w:szCs w:val="20"/>
                <w:lang w:eastAsia="ru-RU"/>
              </w:rPr>
              <w:t xml:space="preserve"> </w:t>
            </w:r>
            <w:proofErr w:type="gramStart"/>
            <w:r w:rsidRPr="000926EF">
              <w:rPr>
                <w:rFonts w:ascii="Times New Roman" w:eastAsia="Times New Roman" w:hAnsi="Times New Roman" w:cs="Times New Roman"/>
                <w:b/>
                <w:bCs/>
                <w:sz w:val="20"/>
                <w:szCs w:val="20"/>
                <w:lang w:eastAsia="ru-RU"/>
              </w:rPr>
              <w:t>в</w:t>
            </w:r>
            <w:proofErr w:type="gramEnd"/>
            <w:r w:rsidRPr="000926EF">
              <w:rPr>
                <w:rFonts w:ascii="Times New Roman" w:eastAsia="Times New Roman" w:hAnsi="Times New Roman" w:cs="Times New Roman"/>
                <w:b/>
                <w:bCs/>
                <w:sz w:val="20"/>
                <w:szCs w:val="20"/>
                <w:lang w:eastAsia="ru-RU"/>
              </w:rPr>
              <w:t xml:space="preserve">ес в общ. сумме </w:t>
            </w:r>
            <w:proofErr w:type="spellStart"/>
            <w:r w:rsidRPr="000926EF">
              <w:rPr>
                <w:rFonts w:ascii="Times New Roman" w:eastAsia="Times New Roman" w:hAnsi="Times New Roman" w:cs="Times New Roman"/>
                <w:b/>
                <w:bCs/>
                <w:sz w:val="20"/>
                <w:szCs w:val="20"/>
                <w:lang w:eastAsia="ru-RU"/>
              </w:rPr>
              <w:t>расх</w:t>
            </w:r>
            <w:proofErr w:type="spellEnd"/>
            <w:r w:rsidRPr="000926EF">
              <w:rPr>
                <w:rFonts w:ascii="Times New Roman" w:eastAsia="Times New Roman" w:hAnsi="Times New Roman" w:cs="Times New Roman"/>
                <w:b/>
                <w:bCs/>
                <w:sz w:val="20"/>
                <w:szCs w:val="20"/>
                <w:lang w:eastAsia="ru-RU"/>
              </w:rPr>
              <w:t>.</w:t>
            </w:r>
            <w:r w:rsidRPr="000926EF">
              <w:rPr>
                <w:rFonts w:ascii="Times New Roman" w:eastAsia="Times New Roman" w:hAnsi="Times New Roman" w:cs="Times New Roman"/>
                <w:b/>
                <w:bCs/>
                <w:sz w:val="20"/>
                <w:szCs w:val="20"/>
                <w:lang w:eastAsia="ru-RU"/>
              </w:rPr>
              <w:br/>
              <w:t>%</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Факт</w:t>
            </w:r>
          </w:p>
        </w:tc>
        <w:tc>
          <w:tcPr>
            <w:tcW w:w="766" w:type="dxa"/>
            <w:tcBorders>
              <w:top w:val="single" w:sz="4" w:space="0" w:color="auto"/>
              <w:left w:val="nil"/>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Уд</w:t>
            </w:r>
            <w:proofErr w:type="gramStart"/>
            <w:r w:rsidRPr="000926EF">
              <w:rPr>
                <w:rFonts w:ascii="Times New Roman" w:eastAsia="Times New Roman" w:hAnsi="Times New Roman" w:cs="Times New Roman"/>
                <w:b/>
                <w:bCs/>
                <w:sz w:val="20"/>
                <w:szCs w:val="20"/>
                <w:lang w:eastAsia="ru-RU"/>
              </w:rPr>
              <w:t>.</w:t>
            </w:r>
            <w:proofErr w:type="gramEnd"/>
            <w:r w:rsidRPr="000926EF">
              <w:rPr>
                <w:rFonts w:ascii="Times New Roman" w:eastAsia="Times New Roman" w:hAnsi="Times New Roman" w:cs="Times New Roman"/>
                <w:b/>
                <w:bCs/>
                <w:sz w:val="20"/>
                <w:szCs w:val="20"/>
                <w:lang w:eastAsia="ru-RU"/>
              </w:rPr>
              <w:t xml:space="preserve"> </w:t>
            </w:r>
            <w:proofErr w:type="gramStart"/>
            <w:r w:rsidRPr="000926EF">
              <w:rPr>
                <w:rFonts w:ascii="Times New Roman" w:eastAsia="Times New Roman" w:hAnsi="Times New Roman" w:cs="Times New Roman"/>
                <w:b/>
                <w:bCs/>
                <w:sz w:val="20"/>
                <w:szCs w:val="20"/>
                <w:lang w:eastAsia="ru-RU"/>
              </w:rPr>
              <w:t>в</w:t>
            </w:r>
            <w:proofErr w:type="gramEnd"/>
            <w:r w:rsidRPr="000926EF">
              <w:rPr>
                <w:rFonts w:ascii="Times New Roman" w:eastAsia="Times New Roman" w:hAnsi="Times New Roman" w:cs="Times New Roman"/>
                <w:b/>
                <w:bCs/>
                <w:sz w:val="20"/>
                <w:szCs w:val="20"/>
                <w:lang w:eastAsia="ru-RU"/>
              </w:rPr>
              <w:t xml:space="preserve">ес в общ. сумме </w:t>
            </w:r>
            <w:proofErr w:type="spellStart"/>
            <w:r w:rsidRPr="000926EF">
              <w:rPr>
                <w:rFonts w:ascii="Times New Roman" w:eastAsia="Times New Roman" w:hAnsi="Times New Roman" w:cs="Times New Roman"/>
                <w:b/>
                <w:bCs/>
                <w:sz w:val="20"/>
                <w:szCs w:val="20"/>
                <w:lang w:eastAsia="ru-RU"/>
              </w:rPr>
              <w:t>расх</w:t>
            </w:r>
            <w:proofErr w:type="spellEnd"/>
            <w:r w:rsidRPr="000926EF">
              <w:rPr>
                <w:rFonts w:ascii="Times New Roman" w:eastAsia="Times New Roman" w:hAnsi="Times New Roman" w:cs="Times New Roman"/>
                <w:b/>
                <w:bCs/>
                <w:sz w:val="20"/>
                <w:szCs w:val="20"/>
                <w:lang w:eastAsia="ru-RU"/>
              </w:rPr>
              <w:t>.</w:t>
            </w:r>
            <w:r w:rsidRPr="000926EF">
              <w:rPr>
                <w:rFonts w:ascii="Times New Roman" w:eastAsia="Times New Roman" w:hAnsi="Times New Roman" w:cs="Times New Roman"/>
                <w:b/>
                <w:bCs/>
                <w:sz w:val="20"/>
                <w:szCs w:val="20"/>
                <w:lang w:eastAsia="ru-RU"/>
              </w:rPr>
              <w:br/>
              <w:t>%</w:t>
            </w:r>
          </w:p>
        </w:tc>
        <w:tc>
          <w:tcPr>
            <w:tcW w:w="1219" w:type="dxa"/>
            <w:tcBorders>
              <w:top w:val="single" w:sz="4" w:space="0" w:color="auto"/>
              <w:left w:val="nil"/>
              <w:bottom w:val="single" w:sz="4" w:space="0" w:color="auto"/>
              <w:right w:val="single" w:sz="4" w:space="0" w:color="auto"/>
            </w:tcBorders>
            <w:shd w:val="clear" w:color="auto" w:fill="auto"/>
            <w:vAlign w:val="center"/>
            <w:hideMark/>
          </w:tcPr>
          <w:p w:rsidR="000926EF" w:rsidRPr="000926EF" w:rsidRDefault="000926EF" w:rsidP="00C253FC">
            <w:pPr>
              <w:spacing w:after="0" w:line="240" w:lineRule="auto"/>
              <w:jc w:val="center"/>
              <w:rPr>
                <w:rFonts w:ascii="Times New Roman" w:eastAsia="Times New Roman" w:hAnsi="Times New Roman" w:cs="Times New Roman"/>
                <w:b/>
                <w:bCs/>
                <w:sz w:val="20"/>
                <w:szCs w:val="20"/>
                <w:lang w:eastAsia="ru-RU"/>
              </w:rPr>
            </w:pPr>
            <w:proofErr w:type="spellStart"/>
            <w:r w:rsidRPr="000926EF">
              <w:rPr>
                <w:rFonts w:ascii="Times New Roman" w:eastAsia="Times New Roman" w:hAnsi="Times New Roman" w:cs="Times New Roman"/>
                <w:b/>
                <w:bCs/>
                <w:sz w:val="20"/>
                <w:szCs w:val="20"/>
                <w:lang w:eastAsia="ru-RU"/>
              </w:rPr>
              <w:t>Откл</w:t>
            </w:r>
            <w:proofErr w:type="spellEnd"/>
            <w:r w:rsidR="00C253FC">
              <w:rPr>
                <w:rFonts w:ascii="Times New Roman" w:eastAsia="Times New Roman" w:hAnsi="Times New Roman" w:cs="Times New Roman"/>
                <w:b/>
                <w:bCs/>
                <w:sz w:val="20"/>
                <w:szCs w:val="20"/>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0926EF" w:rsidRPr="000926EF" w:rsidRDefault="000926EF" w:rsidP="00C253FC">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Исп</w:t>
            </w:r>
            <w:r w:rsidR="00C253FC">
              <w:rPr>
                <w:rFonts w:ascii="Times New Roman" w:eastAsia="Times New Roman" w:hAnsi="Times New Roman" w:cs="Times New Roman"/>
                <w:b/>
                <w:bCs/>
                <w:sz w:val="20"/>
                <w:szCs w:val="20"/>
                <w:lang w:eastAsia="ru-RU"/>
              </w:rPr>
              <w:t>.</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76 272 974,5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 </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73 547 401,7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 </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2 725 572,8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96,4%</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6 195 401,7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8,1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6 032 907,6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8,2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162 494,0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97,4%</w:t>
            </w:r>
          </w:p>
        </w:tc>
      </w:tr>
      <w:tr w:rsidR="00C253FC" w:rsidRPr="000926EF" w:rsidTr="00C253FC">
        <w:trPr>
          <w:trHeight w:val="82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905 045,0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904 299,9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745,1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99,9%</w:t>
            </w:r>
          </w:p>
        </w:tc>
      </w:tr>
      <w:tr w:rsidR="00C253FC" w:rsidRPr="000926EF" w:rsidTr="00C253FC">
        <w:trPr>
          <w:trHeight w:val="1110"/>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429 978,0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401 016,6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28 961,4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93,3%</w:t>
            </w:r>
          </w:p>
        </w:tc>
      </w:tr>
      <w:tr w:rsidR="00C253FC" w:rsidRPr="000926EF" w:rsidTr="00C253FC">
        <w:trPr>
          <w:trHeight w:val="11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177 533,3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173 885,8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3 647,4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97,9%</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299 725,9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287 504,6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12 221,3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95,9%</w:t>
            </w:r>
          </w:p>
        </w:tc>
      </w:tr>
      <w:tr w:rsidR="00C253FC" w:rsidRPr="000926EF" w:rsidTr="00C253FC">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380 507,9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351 943,1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28 564,8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92,5%</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Обеспечение проведения выборов и референдумов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81 764,1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81 264,1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99,4%</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lastRenderedPageBreak/>
              <w:t>Фундаментальные исследования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75 486,4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73 066,5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2 419,9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96,8%</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41 892,8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1 498,0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40 394,8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3,6%</w:t>
            </w:r>
          </w:p>
        </w:tc>
      </w:tr>
      <w:tr w:rsidR="00C253FC" w:rsidRPr="000926EF" w:rsidTr="00C253FC">
        <w:trPr>
          <w:trHeight w:val="5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Прикладные научные исследования в области общегосударственных вопросов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18 502,6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16 252,2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2 250,4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87,8%</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3 784 965,7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3 742 176,8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42 788,9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98,9%</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29 474,9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29 474,9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100,0%</w:t>
            </w:r>
          </w:p>
        </w:tc>
      </w:tr>
      <w:tr w:rsidR="00C253FC" w:rsidRPr="000926EF" w:rsidTr="00C253FC">
        <w:trPr>
          <w:trHeight w:val="4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29 474,9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29 474,9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color w:val="000000"/>
                <w:sz w:val="20"/>
                <w:szCs w:val="20"/>
                <w:lang w:eastAsia="ru-RU"/>
              </w:rPr>
            </w:pPr>
            <w:r w:rsidRPr="000926EF">
              <w:rPr>
                <w:rFonts w:ascii="Times New Roman" w:eastAsia="Times New Roman" w:hAnsi="Times New Roman" w:cs="Times New Roman"/>
                <w:b/>
                <w:bCs/>
                <w:color w:val="000000"/>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246 285,3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230 456,8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15 828,5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93,6%</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color w:val="000000"/>
                <w:sz w:val="20"/>
                <w:szCs w:val="20"/>
                <w:lang w:eastAsia="ru-RU"/>
              </w:rPr>
            </w:pPr>
            <w:r w:rsidRPr="000926EF">
              <w:rPr>
                <w:rFonts w:ascii="Times New Roman" w:eastAsia="Times New Roman" w:hAnsi="Times New Roman" w:cs="Times New Roman"/>
                <w:color w:val="000000"/>
                <w:sz w:val="20"/>
                <w:szCs w:val="20"/>
                <w:lang w:eastAsia="ru-RU"/>
              </w:rPr>
              <w:t>Органы юстиции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93 775,0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88 375,0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5 400,0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94,2%</w:t>
            </w:r>
          </w:p>
        </w:tc>
      </w:tr>
      <w:tr w:rsidR="00C253FC" w:rsidRPr="000926EF" w:rsidTr="00C253FC">
        <w:trPr>
          <w:trHeight w:val="90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69 873,3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68 100,0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1 773,3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97,5%</w:t>
            </w:r>
          </w:p>
        </w:tc>
      </w:tr>
      <w:tr w:rsidR="00C253FC" w:rsidRPr="000926EF" w:rsidTr="00C253FC">
        <w:trPr>
          <w:trHeight w:val="36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Обеспечение противопожарной безопасности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82 637,0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73 981,8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8 655,2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89,5%</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12 188 324,2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16,0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11 014 071,9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15,0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1 174 252,4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90,4%</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Общеэкономические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568 303,9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559 137,3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0,8</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9 166,6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98,4%</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Топливо и энергетика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42 913,8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42 169,9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743,9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2 715 683,2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2 682 961,7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3,6</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32 721,5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98,8%</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Водное хозяйство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54 418,3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54 418,3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Лесное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236 331,8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234 306,7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2 025,1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99,1%</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Транспорт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724 382,8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709 235,2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15 147,6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97,9%</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Дорожное хозяйство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4 026 058,8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3 752 873,5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273 185,3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93,2%</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Связь и информатика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202 558,4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149 146,8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53 411,6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73,6%</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Прикладные научные исследования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21 034,1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20 328,6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705,5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96,6%</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3 596 639,1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2 809 493,8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3,8</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787 145,3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78,1%</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color w:val="000000"/>
                <w:sz w:val="20"/>
                <w:szCs w:val="20"/>
                <w:lang w:eastAsia="ru-RU"/>
              </w:rPr>
            </w:pPr>
            <w:r w:rsidRPr="000926EF">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5 597 255,8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7,3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5 536 355,3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7,5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60 900,5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98,9%</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1 539 399,2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1 486 141,7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53 257,5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96,5%</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3 703 821,0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3 700 703,3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3 117,7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99,9%</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260 574,2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257 159,3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3 414,8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98,7%</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93 461,5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92 351,0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1 110,5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98,8%</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Охрана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06</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81 949,9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81 649,9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300,0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99,6%</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Экологический контроль</w:t>
            </w:r>
          </w:p>
        </w:tc>
        <w:tc>
          <w:tcPr>
            <w:tcW w:w="821" w:type="dxa"/>
            <w:tcBorders>
              <w:top w:val="single" w:sz="4" w:space="0" w:color="auto"/>
              <w:left w:val="nil"/>
              <w:bottom w:val="single" w:sz="4" w:space="0" w:color="auto"/>
              <w:right w:val="single" w:sz="4" w:space="0" w:color="auto"/>
            </w:tcBorders>
            <w:shd w:val="clear" w:color="000000" w:fill="FFFFFF"/>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738" w:type="dxa"/>
            <w:tcBorders>
              <w:top w:val="single" w:sz="4" w:space="0" w:color="auto"/>
              <w:left w:val="nil"/>
              <w:bottom w:val="single" w:sz="4" w:space="0" w:color="auto"/>
              <w:right w:val="single" w:sz="4" w:space="0" w:color="auto"/>
            </w:tcBorders>
            <w:shd w:val="clear" w:color="000000" w:fill="FFFFFF"/>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25 450,0</w:t>
            </w:r>
          </w:p>
        </w:tc>
        <w:tc>
          <w:tcPr>
            <w:tcW w:w="766" w:type="dxa"/>
            <w:tcBorders>
              <w:top w:val="single" w:sz="4" w:space="0" w:color="auto"/>
              <w:left w:val="nil"/>
              <w:bottom w:val="single" w:sz="4" w:space="0" w:color="auto"/>
              <w:right w:val="single" w:sz="4" w:space="0" w:color="auto"/>
            </w:tcBorders>
            <w:shd w:val="clear" w:color="000000" w:fill="FFFFFF"/>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000000" w:fill="FFFFFF"/>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25 450,0</w:t>
            </w:r>
          </w:p>
        </w:tc>
        <w:tc>
          <w:tcPr>
            <w:tcW w:w="766" w:type="dxa"/>
            <w:tcBorders>
              <w:top w:val="single" w:sz="4" w:space="0" w:color="auto"/>
              <w:left w:val="nil"/>
              <w:bottom w:val="single" w:sz="4" w:space="0" w:color="auto"/>
              <w:right w:val="single" w:sz="4" w:space="0" w:color="auto"/>
            </w:tcBorders>
            <w:shd w:val="clear" w:color="000000" w:fill="FFFFFF"/>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Охрана объектов растительного и животного мира и среды их обитания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8 726,4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8 676,4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99,4%</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lastRenderedPageBreak/>
              <w:t>Прикладные научные исследования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18 810,0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18 810,0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охраны окружающей среды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28 963,5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28 713,5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99,1%</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16 950 460,8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22,2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16 527 390,1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22,5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423 070,7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97,5%</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1 606 427,4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1 594 560,2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11 867,2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5 877 965,1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5 743 726,7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7,8</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134 238,4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97,7%</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Начальное профессиональное образование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397 557,6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357 814,5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39 743,0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90,0%</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Среднее профессиональное образование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843 719,7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800 229,3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43 490,4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94,8%</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Профессиональная подготовка, переподготовка и повышение квалификации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46 430,5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46 087,2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343,3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Молодежная политика и оздоровление детей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741 620,4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728 415,7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13 204,7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98,2%</w:t>
            </w:r>
          </w:p>
        </w:tc>
      </w:tr>
      <w:tr w:rsidR="00C253FC" w:rsidRPr="000926EF" w:rsidTr="00C253FC">
        <w:trPr>
          <w:trHeight w:val="510"/>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Прикладные научные исследования в области образования</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10 080,8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9 282,2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798,6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92,1%</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7 426 659,5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7 247 274,3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179 385,1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97,6%</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2 417 714,7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3,2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2 306 263,1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3,1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111 451,6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95,4%</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2 163 932,8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2 083 018,9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80 913,9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96,3%</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 xml:space="preserve">Другие вопросы в области культуры, кинематографии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253 781,9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223 244,2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30 537,7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88,0%</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11 053 132,8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14,5</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10 853 436,3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14,8</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199 696,5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98,2%</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4 538 101,0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4 423 671,1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114 429,9</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97,5%</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454 817,0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425 021,6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29 795,4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93,4%</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Санаторно-оздоровительная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689 603,8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689 598,6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765"/>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Заготовка, переработка, хранение и обеспечение безопасности донорской крови и ее компонентов</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72 181,5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61 085,2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11 096,3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84,6%</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5 298 429,4</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6,9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5 254 059,9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7,1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44 369,6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99,2%</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12 169 245,2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16,0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11 691 555,5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15,9</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477 689,7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96,1%</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Пенсионное обеспечение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289 939,2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247 194,9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42 744,3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85,3%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1 604 300,3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1 458 565,0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145 735,3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90,9%</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9 665 360,9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9 406 497,5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12,8</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258 863,4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333 980,2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317 114,2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16 866,0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94,9%</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275 664,6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262 183,9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13 480,7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95,1%</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1 526 432,2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1 497 386,5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29 045,7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98,1%</w:t>
            </w:r>
          </w:p>
        </w:tc>
      </w:tr>
      <w:tr w:rsidR="00C253FC" w:rsidRPr="000926EF" w:rsidTr="00C253FC">
        <w:trPr>
          <w:trHeight w:val="255"/>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463 048,0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436 727,0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0,6</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26 321,0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94,3%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Массовый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139 310,3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136 810,3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2 500,0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98,2%</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Спорт высших достижений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882 871,6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882 848,5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23,1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lastRenderedPageBreak/>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41 202,3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41 000,8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201,5</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99,5%</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779 761,8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752 470,0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1,0</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27 291,8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96,5%</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Телевидение и радиовещание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261 624,3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251 865,6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9 758,7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96,3%</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188 218,2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187 777,5</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440,7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99,8%</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средств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329 919,3</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312 826,9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0,4</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17 092,4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94,8%</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166 925,0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142 530,7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24 394,3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85,4%</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166 925,0</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142 530,7</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24 394,3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85,4%</w:t>
            </w:r>
          </w:p>
        </w:tc>
      </w:tr>
      <w:tr w:rsidR="00C253FC" w:rsidRPr="000926EF" w:rsidTr="00C253FC">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Межбюджетные трансферты общего характера бюджетам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6 870 610,1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6 851 452,9</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19 157,1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b/>
                <w:bCs/>
                <w:sz w:val="20"/>
                <w:szCs w:val="20"/>
                <w:lang w:eastAsia="ru-RU"/>
              </w:rPr>
            </w:pPr>
            <w:r w:rsidRPr="000926EF">
              <w:rPr>
                <w:rFonts w:ascii="Times New Roman" w:eastAsia="Times New Roman" w:hAnsi="Times New Roman" w:cs="Times New Roman"/>
                <w:b/>
                <w:bCs/>
                <w:sz w:val="20"/>
                <w:szCs w:val="20"/>
                <w:lang w:eastAsia="ru-RU"/>
              </w:rPr>
              <w:t>99,7%</w:t>
            </w:r>
          </w:p>
        </w:tc>
      </w:tr>
      <w:tr w:rsidR="00C253FC" w:rsidRPr="000926EF" w:rsidTr="00C253FC">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Дотации на выравнивание бюджетной обеспеченности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3 298 121,1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3 298 121,1</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4,5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r w:rsidR="00C253FC" w:rsidRPr="000926EF" w:rsidTr="00C253FC">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Иные дотации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2 597 666,8</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2 578 734,6</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3,5</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18 932,1</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99,3%</w:t>
            </w:r>
          </w:p>
        </w:tc>
      </w:tr>
      <w:tr w:rsidR="00C253FC" w:rsidRPr="000926EF" w:rsidTr="00C253FC">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26EF" w:rsidRPr="000926EF" w:rsidRDefault="000926EF" w:rsidP="000926E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Прочие межбюджетные трансферты общего характера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974 822,2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974 597,2</w:t>
            </w:r>
          </w:p>
        </w:tc>
        <w:tc>
          <w:tcPr>
            <w:tcW w:w="766"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1,3</w:t>
            </w:r>
          </w:p>
        </w:tc>
        <w:tc>
          <w:tcPr>
            <w:tcW w:w="1219"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225,0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0926EF" w:rsidRPr="000926EF" w:rsidRDefault="000926EF" w:rsidP="000926EF">
            <w:pPr>
              <w:spacing w:after="0" w:line="240" w:lineRule="auto"/>
              <w:jc w:val="center"/>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100,0%</w:t>
            </w:r>
          </w:p>
        </w:tc>
      </w:tr>
    </w:tbl>
    <w:p w:rsidR="000926EF" w:rsidRDefault="000926EF" w:rsidP="00A05F1A">
      <w:pPr>
        <w:spacing w:after="0" w:line="360" w:lineRule="auto"/>
        <w:ind w:left="-567"/>
        <w:jc w:val="both"/>
        <w:rPr>
          <w:rFonts w:ascii="Times New Roman" w:hAnsi="Times New Roman" w:cs="Times New Roman"/>
          <w:b/>
          <w:sz w:val="24"/>
          <w:szCs w:val="24"/>
        </w:rPr>
      </w:pPr>
    </w:p>
    <w:p w:rsidR="00AE408F" w:rsidRDefault="00AE408F" w:rsidP="00A05F1A">
      <w:pPr>
        <w:spacing w:after="0" w:line="360" w:lineRule="auto"/>
        <w:ind w:left="-567"/>
        <w:jc w:val="both"/>
        <w:rPr>
          <w:rFonts w:ascii="Times New Roman" w:hAnsi="Times New Roman" w:cs="Times New Roman"/>
          <w:b/>
          <w:sz w:val="24"/>
          <w:szCs w:val="24"/>
        </w:rPr>
      </w:pPr>
    </w:p>
    <w:p w:rsidR="006D57B5" w:rsidRDefault="006D57B5" w:rsidP="00A05F1A">
      <w:pPr>
        <w:spacing w:after="0" w:line="360" w:lineRule="auto"/>
        <w:ind w:left="-567"/>
        <w:jc w:val="both"/>
        <w:rPr>
          <w:rFonts w:ascii="Times New Roman" w:hAnsi="Times New Roman" w:cs="Times New Roman"/>
          <w:b/>
          <w:sz w:val="24"/>
          <w:szCs w:val="24"/>
        </w:rPr>
      </w:pPr>
    </w:p>
    <w:tbl>
      <w:tblPr>
        <w:tblW w:w="10364" w:type="dxa"/>
        <w:tblInd w:w="-459" w:type="dxa"/>
        <w:tblLook w:val="04A0" w:firstRow="1" w:lastRow="0" w:firstColumn="1" w:lastColumn="0" w:noHBand="0" w:noVBand="1"/>
      </w:tblPr>
      <w:tblGrid>
        <w:gridCol w:w="2552"/>
        <w:gridCol w:w="821"/>
        <w:gridCol w:w="738"/>
        <w:gridCol w:w="1276"/>
        <w:gridCol w:w="795"/>
        <w:gridCol w:w="18"/>
        <w:gridCol w:w="20"/>
        <w:gridCol w:w="1293"/>
        <w:gridCol w:w="806"/>
        <w:gridCol w:w="18"/>
        <w:gridCol w:w="1164"/>
        <w:gridCol w:w="866"/>
      </w:tblGrid>
      <w:tr w:rsidR="00AE408F" w:rsidRPr="00AE408F" w:rsidTr="00740D8D">
        <w:trPr>
          <w:trHeight w:val="255"/>
        </w:trPr>
        <w:tc>
          <w:tcPr>
            <w:tcW w:w="10364" w:type="dxa"/>
            <w:gridSpan w:val="12"/>
            <w:tcBorders>
              <w:top w:val="nil"/>
              <w:left w:val="nil"/>
              <w:bottom w:val="nil"/>
              <w:right w:val="nil"/>
            </w:tcBorders>
            <w:shd w:val="clear" w:color="auto" w:fill="auto"/>
            <w:noWrap/>
            <w:vAlign w:val="bottom"/>
            <w:hideMark/>
          </w:tcPr>
          <w:p w:rsidR="00AE408F" w:rsidRPr="00A43D8B" w:rsidRDefault="00C16CA0" w:rsidP="00C16CA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Структура р</w:t>
            </w:r>
            <w:r w:rsidR="00AE408F" w:rsidRPr="00A43D8B">
              <w:rPr>
                <w:rFonts w:ascii="Times New Roman" w:eastAsia="Times New Roman" w:hAnsi="Times New Roman" w:cs="Times New Roman"/>
                <w:b/>
                <w:bCs/>
                <w:sz w:val="24"/>
                <w:szCs w:val="24"/>
                <w:lang w:eastAsia="ru-RU"/>
              </w:rPr>
              <w:t>асход</w:t>
            </w:r>
            <w:r>
              <w:rPr>
                <w:rFonts w:ascii="Times New Roman" w:eastAsia="Times New Roman" w:hAnsi="Times New Roman" w:cs="Times New Roman"/>
                <w:b/>
                <w:bCs/>
                <w:sz w:val="24"/>
                <w:szCs w:val="24"/>
                <w:lang w:eastAsia="ru-RU"/>
              </w:rPr>
              <w:t>ов</w:t>
            </w:r>
            <w:r w:rsidR="00AE408F" w:rsidRPr="00A43D8B">
              <w:rPr>
                <w:rFonts w:ascii="Times New Roman" w:eastAsia="Times New Roman" w:hAnsi="Times New Roman" w:cs="Times New Roman"/>
                <w:b/>
                <w:bCs/>
                <w:sz w:val="24"/>
                <w:szCs w:val="24"/>
                <w:lang w:eastAsia="ru-RU"/>
              </w:rPr>
              <w:t xml:space="preserve"> районных бюджетов за 2012 год по ФКР</w:t>
            </w:r>
          </w:p>
        </w:tc>
      </w:tr>
      <w:tr w:rsidR="00AE408F" w:rsidRPr="00AE408F" w:rsidTr="00740D8D">
        <w:trPr>
          <w:trHeight w:val="255"/>
        </w:trPr>
        <w:tc>
          <w:tcPr>
            <w:tcW w:w="2552" w:type="dxa"/>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p>
        </w:tc>
        <w:tc>
          <w:tcPr>
            <w:tcW w:w="738" w:type="dxa"/>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p>
        </w:tc>
        <w:tc>
          <w:tcPr>
            <w:tcW w:w="795" w:type="dxa"/>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p>
        </w:tc>
        <w:tc>
          <w:tcPr>
            <w:tcW w:w="1331" w:type="dxa"/>
            <w:gridSpan w:val="3"/>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jc w:val="right"/>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ед. изм.</w:t>
            </w:r>
          </w:p>
        </w:tc>
        <w:tc>
          <w:tcPr>
            <w:tcW w:w="806" w:type="dxa"/>
            <w:tcBorders>
              <w:top w:val="nil"/>
              <w:left w:val="nil"/>
              <w:bottom w:val="single" w:sz="4" w:space="0" w:color="auto"/>
              <w:right w:val="nil"/>
            </w:tcBorders>
            <w:shd w:val="clear" w:color="auto" w:fill="auto"/>
            <w:noWrap/>
            <w:vAlign w:val="bottom"/>
            <w:hideMark/>
          </w:tcPr>
          <w:p w:rsidR="00AE408F" w:rsidRPr="00AE408F" w:rsidRDefault="00AE408F" w:rsidP="00AE408F">
            <w:pPr>
              <w:spacing w:after="0" w:line="240" w:lineRule="auto"/>
              <w:jc w:val="right"/>
              <w:rPr>
                <w:rFonts w:ascii="Times New Roman" w:eastAsia="Times New Roman" w:hAnsi="Times New Roman" w:cs="Times New Roman"/>
                <w:b/>
                <w:bCs/>
                <w:sz w:val="20"/>
                <w:szCs w:val="20"/>
                <w:lang w:eastAsia="ru-RU"/>
              </w:rPr>
            </w:pPr>
          </w:p>
        </w:tc>
        <w:tc>
          <w:tcPr>
            <w:tcW w:w="1179" w:type="dxa"/>
            <w:gridSpan w:val="2"/>
            <w:tcBorders>
              <w:top w:val="nil"/>
              <w:left w:val="nil"/>
              <w:bottom w:val="single" w:sz="4" w:space="0" w:color="auto"/>
              <w:right w:val="nil"/>
            </w:tcBorders>
            <w:shd w:val="clear" w:color="auto" w:fill="auto"/>
            <w:noWrap/>
            <w:vAlign w:val="bottom"/>
            <w:hideMark/>
          </w:tcPr>
          <w:p w:rsidR="00AE408F" w:rsidRPr="00AE408F" w:rsidRDefault="00AE408F" w:rsidP="00A43D8B">
            <w:pPr>
              <w:spacing w:after="0" w:line="240" w:lineRule="auto"/>
              <w:jc w:val="right"/>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 xml:space="preserve">тыс. </w:t>
            </w:r>
          </w:p>
        </w:tc>
        <w:tc>
          <w:tcPr>
            <w:tcW w:w="866" w:type="dxa"/>
            <w:tcBorders>
              <w:top w:val="nil"/>
              <w:left w:val="nil"/>
              <w:bottom w:val="single" w:sz="4" w:space="0" w:color="auto"/>
              <w:right w:val="nil"/>
            </w:tcBorders>
            <w:shd w:val="clear" w:color="auto" w:fill="auto"/>
            <w:noWrap/>
            <w:vAlign w:val="bottom"/>
            <w:hideMark/>
          </w:tcPr>
          <w:p w:rsidR="00AE408F" w:rsidRPr="00AE408F" w:rsidRDefault="00A43D8B" w:rsidP="00AE408F">
            <w:pPr>
              <w:spacing w:after="0" w:line="240" w:lineRule="auto"/>
              <w:jc w:val="right"/>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рублей</w:t>
            </w:r>
          </w:p>
        </w:tc>
      </w:tr>
      <w:tr w:rsidR="00AE408F" w:rsidRPr="00AE408F" w:rsidTr="00740D8D">
        <w:trPr>
          <w:trHeight w:val="125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 xml:space="preserve">Раздел </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proofErr w:type="spellStart"/>
            <w:r w:rsidRPr="00AE408F">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План</w:t>
            </w:r>
          </w:p>
        </w:tc>
        <w:tc>
          <w:tcPr>
            <w:tcW w:w="795" w:type="dxa"/>
            <w:tcBorders>
              <w:top w:val="single" w:sz="4" w:space="0" w:color="auto"/>
              <w:left w:val="nil"/>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Уд</w:t>
            </w:r>
            <w:proofErr w:type="gramStart"/>
            <w:r w:rsidRPr="00AE408F">
              <w:rPr>
                <w:rFonts w:ascii="Times New Roman" w:eastAsia="Times New Roman" w:hAnsi="Times New Roman" w:cs="Times New Roman"/>
                <w:b/>
                <w:bCs/>
                <w:sz w:val="20"/>
                <w:szCs w:val="20"/>
                <w:lang w:eastAsia="ru-RU"/>
              </w:rPr>
              <w:t>.</w:t>
            </w:r>
            <w:proofErr w:type="gramEnd"/>
            <w:r w:rsidRPr="00AE408F">
              <w:rPr>
                <w:rFonts w:ascii="Times New Roman" w:eastAsia="Times New Roman" w:hAnsi="Times New Roman" w:cs="Times New Roman"/>
                <w:b/>
                <w:bCs/>
                <w:sz w:val="20"/>
                <w:szCs w:val="20"/>
                <w:lang w:eastAsia="ru-RU"/>
              </w:rPr>
              <w:t xml:space="preserve"> </w:t>
            </w:r>
            <w:proofErr w:type="gramStart"/>
            <w:r w:rsidRPr="00AE408F">
              <w:rPr>
                <w:rFonts w:ascii="Times New Roman" w:eastAsia="Times New Roman" w:hAnsi="Times New Roman" w:cs="Times New Roman"/>
                <w:b/>
                <w:bCs/>
                <w:sz w:val="20"/>
                <w:szCs w:val="20"/>
                <w:lang w:eastAsia="ru-RU"/>
              </w:rPr>
              <w:t>в</w:t>
            </w:r>
            <w:proofErr w:type="gramEnd"/>
            <w:r w:rsidRPr="00AE408F">
              <w:rPr>
                <w:rFonts w:ascii="Times New Roman" w:eastAsia="Times New Roman" w:hAnsi="Times New Roman" w:cs="Times New Roman"/>
                <w:b/>
                <w:bCs/>
                <w:sz w:val="20"/>
                <w:szCs w:val="20"/>
                <w:lang w:eastAsia="ru-RU"/>
              </w:rPr>
              <w:t xml:space="preserve">ес в общ. сумме </w:t>
            </w:r>
            <w:proofErr w:type="spellStart"/>
            <w:r w:rsidRPr="00AE408F">
              <w:rPr>
                <w:rFonts w:ascii="Times New Roman" w:eastAsia="Times New Roman" w:hAnsi="Times New Roman" w:cs="Times New Roman"/>
                <w:b/>
                <w:bCs/>
                <w:sz w:val="20"/>
                <w:szCs w:val="20"/>
                <w:lang w:eastAsia="ru-RU"/>
              </w:rPr>
              <w:t>расх</w:t>
            </w:r>
            <w:proofErr w:type="spellEnd"/>
            <w:r w:rsidRPr="00AE408F">
              <w:rPr>
                <w:rFonts w:ascii="Times New Roman" w:eastAsia="Times New Roman" w:hAnsi="Times New Roman" w:cs="Times New Roman"/>
                <w:b/>
                <w:bCs/>
                <w:sz w:val="20"/>
                <w:szCs w:val="20"/>
                <w:lang w:eastAsia="ru-RU"/>
              </w:rPr>
              <w:t>.</w:t>
            </w:r>
            <w:r w:rsidRPr="00AE408F">
              <w:rPr>
                <w:rFonts w:ascii="Times New Roman" w:eastAsia="Times New Roman" w:hAnsi="Times New Roman" w:cs="Times New Roman"/>
                <w:b/>
                <w:bCs/>
                <w:sz w:val="20"/>
                <w:szCs w:val="20"/>
                <w:lang w:eastAsia="ru-RU"/>
              </w:rPr>
              <w:br/>
              <w:t>%</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Факт</w:t>
            </w:r>
          </w:p>
        </w:tc>
        <w:tc>
          <w:tcPr>
            <w:tcW w:w="806" w:type="dxa"/>
            <w:tcBorders>
              <w:top w:val="single" w:sz="4" w:space="0" w:color="auto"/>
              <w:left w:val="nil"/>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Уд</w:t>
            </w:r>
            <w:proofErr w:type="gramStart"/>
            <w:r w:rsidRPr="00AE408F">
              <w:rPr>
                <w:rFonts w:ascii="Times New Roman" w:eastAsia="Times New Roman" w:hAnsi="Times New Roman" w:cs="Times New Roman"/>
                <w:b/>
                <w:bCs/>
                <w:sz w:val="20"/>
                <w:szCs w:val="20"/>
                <w:lang w:eastAsia="ru-RU"/>
              </w:rPr>
              <w:t>.</w:t>
            </w:r>
            <w:proofErr w:type="gramEnd"/>
            <w:r w:rsidRPr="00AE408F">
              <w:rPr>
                <w:rFonts w:ascii="Times New Roman" w:eastAsia="Times New Roman" w:hAnsi="Times New Roman" w:cs="Times New Roman"/>
                <w:b/>
                <w:bCs/>
                <w:sz w:val="20"/>
                <w:szCs w:val="20"/>
                <w:lang w:eastAsia="ru-RU"/>
              </w:rPr>
              <w:t xml:space="preserve"> </w:t>
            </w:r>
            <w:proofErr w:type="gramStart"/>
            <w:r w:rsidRPr="00AE408F">
              <w:rPr>
                <w:rFonts w:ascii="Times New Roman" w:eastAsia="Times New Roman" w:hAnsi="Times New Roman" w:cs="Times New Roman"/>
                <w:b/>
                <w:bCs/>
                <w:sz w:val="20"/>
                <w:szCs w:val="20"/>
                <w:lang w:eastAsia="ru-RU"/>
              </w:rPr>
              <w:t>в</w:t>
            </w:r>
            <w:proofErr w:type="gramEnd"/>
            <w:r w:rsidRPr="00AE408F">
              <w:rPr>
                <w:rFonts w:ascii="Times New Roman" w:eastAsia="Times New Roman" w:hAnsi="Times New Roman" w:cs="Times New Roman"/>
                <w:b/>
                <w:bCs/>
                <w:sz w:val="20"/>
                <w:szCs w:val="20"/>
                <w:lang w:eastAsia="ru-RU"/>
              </w:rPr>
              <w:t xml:space="preserve">ес в общ. сумме </w:t>
            </w:r>
            <w:proofErr w:type="spellStart"/>
            <w:r w:rsidRPr="00AE408F">
              <w:rPr>
                <w:rFonts w:ascii="Times New Roman" w:eastAsia="Times New Roman" w:hAnsi="Times New Roman" w:cs="Times New Roman"/>
                <w:b/>
                <w:bCs/>
                <w:sz w:val="20"/>
                <w:szCs w:val="20"/>
                <w:lang w:eastAsia="ru-RU"/>
              </w:rPr>
              <w:t>расх</w:t>
            </w:r>
            <w:proofErr w:type="spellEnd"/>
            <w:r w:rsidRPr="00AE408F">
              <w:rPr>
                <w:rFonts w:ascii="Times New Roman" w:eastAsia="Times New Roman" w:hAnsi="Times New Roman" w:cs="Times New Roman"/>
                <w:b/>
                <w:bCs/>
                <w:sz w:val="20"/>
                <w:szCs w:val="20"/>
                <w:lang w:eastAsia="ru-RU"/>
              </w:rPr>
              <w:t>.</w:t>
            </w:r>
            <w:r w:rsidRPr="00AE408F">
              <w:rPr>
                <w:rFonts w:ascii="Times New Roman" w:eastAsia="Times New Roman" w:hAnsi="Times New Roman" w:cs="Times New Roman"/>
                <w:b/>
                <w:bCs/>
                <w:sz w:val="20"/>
                <w:szCs w:val="20"/>
                <w:lang w:eastAsia="ru-RU"/>
              </w:rPr>
              <w:br/>
              <w:t>%</w:t>
            </w:r>
          </w:p>
        </w:tc>
        <w:tc>
          <w:tcPr>
            <w:tcW w:w="1179" w:type="dxa"/>
            <w:gridSpan w:val="2"/>
            <w:tcBorders>
              <w:top w:val="single" w:sz="4" w:space="0" w:color="auto"/>
              <w:left w:val="nil"/>
              <w:bottom w:val="single" w:sz="4" w:space="0" w:color="auto"/>
              <w:right w:val="single" w:sz="4" w:space="0" w:color="auto"/>
            </w:tcBorders>
            <w:shd w:val="clear" w:color="auto" w:fill="auto"/>
            <w:vAlign w:val="center"/>
            <w:hideMark/>
          </w:tcPr>
          <w:p w:rsidR="00AE408F" w:rsidRPr="00AE408F" w:rsidRDefault="00AE408F" w:rsidP="00A43D8B">
            <w:pPr>
              <w:spacing w:after="0" w:line="240" w:lineRule="auto"/>
              <w:jc w:val="center"/>
              <w:rPr>
                <w:rFonts w:ascii="Times New Roman" w:eastAsia="Times New Roman" w:hAnsi="Times New Roman" w:cs="Times New Roman"/>
                <w:b/>
                <w:bCs/>
                <w:sz w:val="20"/>
                <w:szCs w:val="20"/>
                <w:lang w:eastAsia="ru-RU"/>
              </w:rPr>
            </w:pPr>
            <w:proofErr w:type="spellStart"/>
            <w:r w:rsidRPr="00AE408F">
              <w:rPr>
                <w:rFonts w:ascii="Times New Roman" w:eastAsia="Times New Roman" w:hAnsi="Times New Roman" w:cs="Times New Roman"/>
                <w:b/>
                <w:bCs/>
                <w:sz w:val="20"/>
                <w:szCs w:val="20"/>
                <w:lang w:eastAsia="ru-RU"/>
              </w:rPr>
              <w:t>Откл</w:t>
            </w:r>
            <w:proofErr w:type="spellEnd"/>
            <w:r w:rsidR="00A43D8B">
              <w:rPr>
                <w:rFonts w:ascii="Times New Roman" w:eastAsia="Times New Roman" w:hAnsi="Times New Roman" w:cs="Times New Roman"/>
                <w:b/>
                <w:bCs/>
                <w:sz w:val="20"/>
                <w:szCs w:val="20"/>
                <w:lang w:eastAsia="ru-RU"/>
              </w:rPr>
              <w:t>.</w:t>
            </w:r>
          </w:p>
        </w:tc>
        <w:tc>
          <w:tcPr>
            <w:tcW w:w="866" w:type="dxa"/>
            <w:tcBorders>
              <w:top w:val="single" w:sz="4" w:space="0" w:color="auto"/>
              <w:left w:val="nil"/>
              <w:bottom w:val="single" w:sz="4" w:space="0" w:color="auto"/>
              <w:right w:val="single" w:sz="4" w:space="0" w:color="auto"/>
            </w:tcBorders>
            <w:shd w:val="clear" w:color="auto" w:fill="auto"/>
            <w:vAlign w:val="center"/>
            <w:hideMark/>
          </w:tcPr>
          <w:p w:rsidR="00AE408F" w:rsidRPr="00AE408F" w:rsidRDefault="00AE408F" w:rsidP="00A43D8B">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Исп</w:t>
            </w:r>
            <w:r w:rsidR="00A43D8B">
              <w:rPr>
                <w:rFonts w:ascii="Times New Roman" w:eastAsia="Times New Roman" w:hAnsi="Times New Roman" w:cs="Times New Roman"/>
                <w:b/>
                <w:bCs/>
                <w:sz w:val="20"/>
                <w:szCs w:val="20"/>
                <w:lang w:eastAsia="ru-RU"/>
              </w:rPr>
              <w:t>.</w:t>
            </w:r>
          </w:p>
        </w:tc>
      </w:tr>
      <w:tr w:rsidR="00AE408F" w:rsidRPr="00AE408F"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15 919 250,6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 </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15 517 864,0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 </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401 386,5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97,5%</w:t>
            </w:r>
          </w:p>
        </w:tc>
      </w:tr>
      <w:tr w:rsidR="00AE408F" w:rsidRPr="00AE408F"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1 074 004,6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6,7</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1 026 018,2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6,6</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47 986,4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95,5%</w:t>
            </w:r>
          </w:p>
        </w:tc>
      </w:tr>
      <w:tr w:rsidR="00AE408F" w:rsidRPr="00AE408F" w:rsidTr="00740D8D">
        <w:trPr>
          <w:trHeight w:val="13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13 262,1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13 188,9</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73,2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99,4%</w:t>
            </w:r>
          </w:p>
        </w:tc>
      </w:tr>
      <w:tr w:rsidR="00AE408F" w:rsidRPr="00AE408F" w:rsidTr="00740D8D">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 xml:space="preserve">Функционирование законодательных (представительных) </w:t>
            </w:r>
            <w:r w:rsidRPr="00AE408F">
              <w:rPr>
                <w:rFonts w:ascii="Times New Roman" w:eastAsia="Times New Roman" w:hAnsi="Times New Roman" w:cs="Times New Roman"/>
                <w:sz w:val="20"/>
                <w:szCs w:val="20"/>
                <w:lang w:eastAsia="ru-RU"/>
              </w:rPr>
              <w:lastRenderedPageBreak/>
              <w:t>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lastRenderedPageBreak/>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46 896,3</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46 788,5</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107,8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99,8%</w:t>
            </w:r>
          </w:p>
        </w:tc>
      </w:tr>
      <w:tr w:rsidR="00AE408F" w:rsidRPr="00AE408F" w:rsidTr="00740D8D">
        <w:trPr>
          <w:trHeight w:val="11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6D57B5">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lastRenderedPageBreak/>
              <w:t>Функционирование Правительства Российской Федерации, высших исполнительных органов государственной власти субъектов РФ,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598 106,9</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3,8</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569 552,7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3,7</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28 554,2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95,2%</w:t>
            </w:r>
          </w:p>
        </w:tc>
      </w:tr>
      <w:tr w:rsidR="00AE408F" w:rsidRPr="00AE408F" w:rsidTr="00740D8D">
        <w:trPr>
          <w:trHeight w:val="126"/>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67,5</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58,7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13,0%</w:t>
            </w:r>
          </w:p>
        </w:tc>
      </w:tr>
      <w:tr w:rsidR="00AE408F" w:rsidRPr="00AE408F" w:rsidTr="00740D8D">
        <w:trPr>
          <w:trHeight w:val="1149"/>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287 477,4</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284 715,2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2 762,2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99,0%</w:t>
            </w:r>
          </w:p>
        </w:tc>
      </w:tr>
      <w:tr w:rsidR="00AE408F" w:rsidRPr="00AE408F" w:rsidTr="00740D8D">
        <w:trPr>
          <w:trHeight w:val="49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Обеспечение проведения выборов и референдумов</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491,9</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491,9</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5 832,5</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1 999,2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3 833,3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34,3%</w:t>
            </w:r>
          </w:p>
        </w:tc>
      </w:tr>
      <w:tr w:rsidR="00AE408F" w:rsidRPr="00AE408F" w:rsidTr="00740D8D">
        <w:trPr>
          <w:trHeight w:val="287"/>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121 870,0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0,8</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109 273,0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12 597,0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89,7%</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28 907,7</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28 907,7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100,0%</w:t>
            </w:r>
          </w:p>
        </w:tc>
      </w:tr>
      <w:tr w:rsidR="00AE408F" w:rsidRPr="00AE408F" w:rsidTr="00740D8D">
        <w:trPr>
          <w:trHeight w:val="74"/>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28 907,7</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28 907,7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308"/>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85 352,1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0,5</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67 482,0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0,4</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17 870,1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79,1%</w:t>
            </w:r>
          </w:p>
        </w:tc>
      </w:tr>
      <w:tr w:rsidR="00AE408F" w:rsidRPr="00AE408F" w:rsidTr="00740D8D">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Защита населения и территории от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85 282,1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67 412,0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17 870,1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79,0%</w:t>
            </w:r>
          </w:p>
        </w:tc>
      </w:tr>
      <w:tr w:rsidR="00AE408F" w:rsidRPr="00AE408F" w:rsidTr="00740D8D">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национальной безопасности и правоохранительной деятельности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70,0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70,0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202"/>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351 752,6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349 265,3</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2,3</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2 487,3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99,3%</w:t>
            </w:r>
          </w:p>
        </w:tc>
      </w:tr>
      <w:tr w:rsidR="00AE408F" w:rsidRPr="00AE408F" w:rsidTr="00740D8D">
        <w:trPr>
          <w:trHeight w:val="152"/>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234 078,0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1,5</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232 942,8</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1,5</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1 135,2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99,5%</w:t>
            </w:r>
          </w:p>
        </w:tc>
      </w:tr>
      <w:tr w:rsidR="00AE408F" w:rsidRPr="00AE408F"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Дорожное хозяйство (дорожные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7 000,0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7 000,0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110 674,7</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109 322,5</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1 352,1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98,8%</w:t>
            </w:r>
          </w:p>
        </w:tc>
      </w:tr>
      <w:tr w:rsidR="00AE408F" w:rsidRPr="00AE408F" w:rsidTr="00740D8D">
        <w:trPr>
          <w:trHeight w:val="27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b/>
                <w:bCs/>
                <w:color w:val="000000"/>
                <w:sz w:val="20"/>
                <w:szCs w:val="20"/>
                <w:lang w:eastAsia="ru-RU"/>
              </w:rPr>
            </w:pPr>
            <w:r w:rsidRPr="00AE408F">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776 212,6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4,9</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740 482,2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4,8</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35 730,4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95,4%</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173 866,9</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173 859,7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282 892,6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282 879,7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12,8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158"/>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313 546,6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277 836,2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35 710,4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88,6%</w:t>
            </w:r>
          </w:p>
        </w:tc>
      </w:tr>
      <w:tr w:rsidR="00AE408F" w:rsidRPr="00AE408F" w:rsidTr="00740D8D">
        <w:trPr>
          <w:trHeight w:val="61"/>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AE408F" w:rsidRPr="00AE408F" w:rsidRDefault="006D57B5" w:rsidP="00AE408F">
            <w:pPr>
              <w:spacing w:after="0" w:line="240" w:lineRule="auto"/>
              <w:rPr>
                <w:rFonts w:ascii="Times New Roman" w:eastAsia="Times New Roman" w:hAnsi="Times New Roman" w:cs="Times New Roman"/>
                <w:sz w:val="20"/>
                <w:szCs w:val="20"/>
                <w:lang w:eastAsia="ru-RU"/>
              </w:rPr>
            </w:pPr>
            <w:r w:rsidRPr="000926EF">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5 906,5</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5 906,5</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7 873 333,4</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49,5</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7 786 959,8</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50,2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86 373,7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98,9%</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828 699,1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821 978,4</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5,3</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6 720,6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99,2%</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lastRenderedPageBreak/>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6 698 324,3</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42,1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6 626 097,7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42,7</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72 226,6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98,9%</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346 310,1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338 883,7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7 426,4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97,9%</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Культура, кинематография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338 992,2</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332 233,0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6 759,2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98,0%</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236 728,1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1,5</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233 282,3</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1,5</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3 445,8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98,5%</w:t>
            </w:r>
          </w:p>
        </w:tc>
      </w:tr>
      <w:tr w:rsidR="00AE408F" w:rsidRPr="00AE408F"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культуры, кинематографии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102 264,1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0,6</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98 950,7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0,6</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3 313,4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96,8%</w:t>
            </w:r>
          </w:p>
        </w:tc>
      </w:tr>
      <w:tr w:rsidR="00AE408F" w:rsidRPr="00AE408F" w:rsidTr="00740D8D">
        <w:trPr>
          <w:trHeight w:val="61"/>
        </w:trPr>
        <w:tc>
          <w:tcPr>
            <w:tcW w:w="2552" w:type="dxa"/>
            <w:tcBorders>
              <w:top w:val="single" w:sz="4" w:space="0" w:color="auto"/>
              <w:left w:val="single" w:sz="4" w:space="0" w:color="auto"/>
              <w:bottom w:val="single" w:sz="4" w:space="0" w:color="auto"/>
              <w:right w:val="nil"/>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964 580,6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934 039,2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30 541,5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96,8%</w:t>
            </w:r>
          </w:p>
        </w:tc>
      </w:tr>
      <w:tr w:rsidR="00AE408F" w:rsidRPr="00AE408F" w:rsidTr="00740D8D">
        <w:trPr>
          <w:trHeight w:val="118"/>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823 349,5</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801 185,5</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22 164,0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97,3%</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107 360,1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100 645,1</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0,6</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6 715,0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93,7%</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Скорая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30 935,9</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29 592,8</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1 343,1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95,7%</w:t>
            </w:r>
          </w:p>
        </w:tc>
      </w:tr>
      <w:tr w:rsidR="00AE408F" w:rsidRPr="00AE408F" w:rsidTr="00740D8D">
        <w:trPr>
          <w:trHeight w:val="78"/>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2 935,1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2 615,8</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319,3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89,1%</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3 511 193,5</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22,1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3 392 406,7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21,9</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118 786,8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96,6%</w:t>
            </w:r>
          </w:p>
        </w:tc>
      </w:tr>
      <w:tr w:rsidR="00AE408F" w:rsidRPr="00AE408F" w:rsidTr="00740D8D">
        <w:trPr>
          <w:trHeight w:val="73"/>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Пенсионное обеспечение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497,3</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453,6</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43,7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91,2%</w:t>
            </w:r>
          </w:p>
        </w:tc>
      </w:tr>
      <w:tr w:rsidR="00AE408F" w:rsidRPr="00AE408F"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327 145,2</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326 966,1</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179,1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99,9%</w:t>
            </w:r>
          </w:p>
        </w:tc>
      </w:tr>
      <w:tr w:rsidR="00AE408F" w:rsidRPr="00AE408F"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2 994 371,1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18,8</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2 878 406,3</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18,5</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115 964,8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96,1%</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105 363,0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102 940,7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0,7</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2 422,2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97,7%</w:t>
            </w:r>
          </w:p>
        </w:tc>
      </w:tr>
      <w:tr w:rsidR="00AE408F" w:rsidRPr="00AE408F" w:rsidTr="00740D8D">
        <w:trPr>
          <w:trHeight w:val="27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83 817,0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83 639,9</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177,0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99,8%</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150 672,7</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0,9</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97 022,7</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0,6</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53 649,9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64,4%</w:t>
            </w:r>
          </w:p>
        </w:tc>
      </w:tr>
      <w:tr w:rsidR="00AE408F" w:rsidRPr="00AE408F" w:rsidTr="00740D8D">
        <w:trPr>
          <w:trHeight w:val="122"/>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60 816,3</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60 816,3</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Массовый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50 000,0</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50 000,0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r>
      <w:tr w:rsidR="00AE408F" w:rsidRPr="00AE408F" w:rsidTr="00740D8D">
        <w:trPr>
          <w:trHeight w:val="497"/>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39 856,3</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36 206,4</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3 649,9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90,8%</w:t>
            </w:r>
          </w:p>
        </w:tc>
      </w:tr>
      <w:tr w:rsidR="00AE408F" w:rsidRPr="00AE408F" w:rsidTr="00740D8D">
        <w:trPr>
          <w:trHeight w:val="2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57 057,8</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0,4</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57 057,8</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0,4</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100,0%</w:t>
            </w:r>
          </w:p>
        </w:tc>
      </w:tr>
      <w:tr w:rsidR="00AE408F" w:rsidRPr="00AE408F" w:rsidTr="00740D8D">
        <w:trPr>
          <w:trHeight w:val="173"/>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57 057,8</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57 057,8</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0,4</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9 638,1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9 638,1</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100,0%</w:t>
            </w:r>
          </w:p>
        </w:tc>
      </w:tr>
      <w:tr w:rsidR="00AE408F" w:rsidRPr="00AE408F" w:rsidTr="00740D8D">
        <w:trPr>
          <w:trHeight w:val="759"/>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9 638,1</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9 638,1</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AE408F" w:rsidRPr="00AE408F" w:rsidTr="00740D8D">
        <w:trPr>
          <w:trHeight w:val="77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6D57B5">
            <w:pPr>
              <w:spacing w:after="0" w:line="240" w:lineRule="auto"/>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Межбюджетные трансферты общего характера бюджетам субъектов РФ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697 552,6</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4,4</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696 351,4</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4,5</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1 201,3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b/>
                <w:bCs/>
                <w:sz w:val="20"/>
                <w:szCs w:val="20"/>
                <w:lang w:eastAsia="ru-RU"/>
              </w:rPr>
            </w:pPr>
            <w:r w:rsidRPr="00AE408F">
              <w:rPr>
                <w:rFonts w:ascii="Times New Roman" w:eastAsia="Times New Roman" w:hAnsi="Times New Roman" w:cs="Times New Roman"/>
                <w:b/>
                <w:bCs/>
                <w:sz w:val="20"/>
                <w:szCs w:val="20"/>
                <w:lang w:eastAsia="ru-RU"/>
              </w:rPr>
              <w:t>99,8%</w:t>
            </w:r>
          </w:p>
        </w:tc>
      </w:tr>
      <w:tr w:rsidR="00AE408F" w:rsidRPr="00AE408F" w:rsidTr="00740D8D">
        <w:trPr>
          <w:trHeight w:val="92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6D57B5">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Дотации на выравнивание бюджетной обеспеченности субъектов РФ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624 876,8</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3,9</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624 064,1</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4,0</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812,7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99,9%</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Иные дотации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49 719,5</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49 331,0</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388,5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99,2%</w:t>
            </w:r>
          </w:p>
        </w:tc>
      </w:tr>
      <w:tr w:rsidR="00AE408F" w:rsidRPr="00AE408F"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408F" w:rsidRPr="00AE408F" w:rsidRDefault="00AE408F" w:rsidP="00AE408F">
            <w:pPr>
              <w:spacing w:after="0" w:line="240" w:lineRule="auto"/>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Прочие межбюджетные трансферты общего характера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22 956,3</w:t>
            </w:r>
          </w:p>
        </w:tc>
        <w:tc>
          <w:tcPr>
            <w:tcW w:w="795"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331" w:type="dxa"/>
            <w:gridSpan w:val="3"/>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22 956,3</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0,1</w:t>
            </w:r>
          </w:p>
        </w:tc>
        <w:tc>
          <w:tcPr>
            <w:tcW w:w="1179" w:type="dxa"/>
            <w:gridSpan w:val="2"/>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AE408F" w:rsidRPr="00AE408F" w:rsidRDefault="00AE408F" w:rsidP="00AE408F">
            <w:pPr>
              <w:spacing w:after="0" w:line="240" w:lineRule="auto"/>
              <w:jc w:val="center"/>
              <w:rPr>
                <w:rFonts w:ascii="Times New Roman" w:eastAsia="Times New Roman" w:hAnsi="Times New Roman" w:cs="Times New Roman"/>
                <w:sz w:val="20"/>
                <w:szCs w:val="20"/>
                <w:lang w:eastAsia="ru-RU"/>
              </w:rPr>
            </w:pPr>
            <w:r w:rsidRPr="00AE408F">
              <w:rPr>
                <w:rFonts w:ascii="Times New Roman" w:eastAsia="Times New Roman" w:hAnsi="Times New Roman" w:cs="Times New Roman"/>
                <w:sz w:val="20"/>
                <w:szCs w:val="20"/>
                <w:lang w:eastAsia="ru-RU"/>
              </w:rPr>
              <w:t>100,0%</w:t>
            </w:r>
          </w:p>
        </w:tc>
      </w:tr>
      <w:tr w:rsidR="00716283" w:rsidRPr="00716283" w:rsidTr="00740D8D">
        <w:trPr>
          <w:trHeight w:val="255"/>
        </w:trPr>
        <w:tc>
          <w:tcPr>
            <w:tcW w:w="10364" w:type="dxa"/>
            <w:gridSpan w:val="12"/>
            <w:tcBorders>
              <w:top w:val="nil"/>
              <w:left w:val="nil"/>
              <w:bottom w:val="nil"/>
              <w:right w:val="nil"/>
            </w:tcBorders>
            <w:shd w:val="clear" w:color="auto" w:fill="auto"/>
            <w:noWrap/>
            <w:vAlign w:val="bottom"/>
            <w:hideMark/>
          </w:tcPr>
          <w:p w:rsidR="00C16CA0" w:rsidRDefault="00C16CA0" w:rsidP="00716283">
            <w:pPr>
              <w:spacing w:after="0" w:line="240" w:lineRule="auto"/>
              <w:jc w:val="center"/>
              <w:rPr>
                <w:rFonts w:ascii="Times New Roman" w:eastAsia="Times New Roman" w:hAnsi="Times New Roman" w:cs="Times New Roman"/>
                <w:b/>
                <w:bCs/>
                <w:sz w:val="24"/>
                <w:szCs w:val="24"/>
                <w:lang w:eastAsia="ru-RU"/>
              </w:rPr>
            </w:pPr>
          </w:p>
          <w:p w:rsidR="00C16CA0" w:rsidRDefault="00C16CA0" w:rsidP="00716283">
            <w:pPr>
              <w:spacing w:after="0" w:line="240" w:lineRule="auto"/>
              <w:jc w:val="center"/>
              <w:rPr>
                <w:rFonts w:ascii="Times New Roman" w:eastAsia="Times New Roman" w:hAnsi="Times New Roman" w:cs="Times New Roman"/>
                <w:b/>
                <w:bCs/>
                <w:sz w:val="24"/>
                <w:szCs w:val="24"/>
                <w:lang w:eastAsia="ru-RU"/>
              </w:rPr>
            </w:pPr>
          </w:p>
          <w:p w:rsidR="00C16CA0" w:rsidRDefault="00C16CA0" w:rsidP="00716283">
            <w:pPr>
              <w:spacing w:after="0" w:line="240" w:lineRule="auto"/>
              <w:jc w:val="center"/>
              <w:rPr>
                <w:rFonts w:ascii="Times New Roman" w:eastAsia="Times New Roman" w:hAnsi="Times New Roman" w:cs="Times New Roman"/>
                <w:b/>
                <w:bCs/>
                <w:sz w:val="24"/>
                <w:szCs w:val="24"/>
                <w:lang w:eastAsia="ru-RU"/>
              </w:rPr>
            </w:pPr>
          </w:p>
          <w:p w:rsidR="00716283" w:rsidRPr="00716283" w:rsidRDefault="00C16CA0" w:rsidP="00C16CA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Структура р</w:t>
            </w:r>
            <w:r w:rsidR="00716283" w:rsidRPr="00716283">
              <w:rPr>
                <w:rFonts w:ascii="Times New Roman" w:eastAsia="Times New Roman" w:hAnsi="Times New Roman" w:cs="Times New Roman"/>
                <w:b/>
                <w:bCs/>
                <w:sz w:val="24"/>
                <w:szCs w:val="24"/>
                <w:lang w:eastAsia="ru-RU"/>
              </w:rPr>
              <w:t>асход</w:t>
            </w:r>
            <w:r>
              <w:rPr>
                <w:rFonts w:ascii="Times New Roman" w:eastAsia="Times New Roman" w:hAnsi="Times New Roman" w:cs="Times New Roman"/>
                <w:b/>
                <w:bCs/>
                <w:sz w:val="24"/>
                <w:szCs w:val="24"/>
                <w:lang w:eastAsia="ru-RU"/>
              </w:rPr>
              <w:t>ов</w:t>
            </w:r>
            <w:r w:rsidR="00716283" w:rsidRPr="00716283">
              <w:rPr>
                <w:rFonts w:ascii="Times New Roman" w:eastAsia="Times New Roman" w:hAnsi="Times New Roman" w:cs="Times New Roman"/>
                <w:b/>
                <w:bCs/>
                <w:sz w:val="24"/>
                <w:szCs w:val="24"/>
                <w:lang w:eastAsia="ru-RU"/>
              </w:rPr>
              <w:t xml:space="preserve"> бюджетов городских округов за 2012 год по ФКР</w:t>
            </w:r>
          </w:p>
        </w:tc>
      </w:tr>
      <w:tr w:rsidR="00716283" w:rsidRPr="00716283" w:rsidTr="00740D8D">
        <w:trPr>
          <w:trHeight w:val="255"/>
        </w:trPr>
        <w:tc>
          <w:tcPr>
            <w:tcW w:w="2552" w:type="dxa"/>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p>
        </w:tc>
        <w:tc>
          <w:tcPr>
            <w:tcW w:w="738" w:type="dxa"/>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p>
        </w:tc>
        <w:tc>
          <w:tcPr>
            <w:tcW w:w="813" w:type="dxa"/>
            <w:gridSpan w:val="2"/>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p>
        </w:tc>
        <w:tc>
          <w:tcPr>
            <w:tcW w:w="1313" w:type="dxa"/>
            <w:gridSpan w:val="2"/>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jc w:val="right"/>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ед. изм.</w:t>
            </w:r>
          </w:p>
        </w:tc>
        <w:tc>
          <w:tcPr>
            <w:tcW w:w="824" w:type="dxa"/>
            <w:gridSpan w:val="2"/>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jc w:val="right"/>
              <w:rPr>
                <w:rFonts w:ascii="Times New Roman" w:eastAsia="Times New Roman" w:hAnsi="Times New Roman" w:cs="Times New Roman"/>
                <w:b/>
                <w:bCs/>
                <w:sz w:val="20"/>
                <w:szCs w:val="20"/>
                <w:lang w:eastAsia="ru-RU"/>
              </w:rPr>
            </w:pPr>
          </w:p>
        </w:tc>
        <w:tc>
          <w:tcPr>
            <w:tcW w:w="1161" w:type="dxa"/>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jc w:val="right"/>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 xml:space="preserve">тыс. </w:t>
            </w:r>
          </w:p>
        </w:tc>
        <w:tc>
          <w:tcPr>
            <w:tcW w:w="866" w:type="dxa"/>
            <w:tcBorders>
              <w:top w:val="nil"/>
              <w:left w:val="nil"/>
              <w:bottom w:val="single" w:sz="4" w:space="0" w:color="auto"/>
              <w:right w:val="nil"/>
            </w:tcBorders>
            <w:shd w:val="clear" w:color="auto" w:fill="auto"/>
            <w:noWrap/>
            <w:vAlign w:val="bottom"/>
            <w:hideMark/>
          </w:tcPr>
          <w:p w:rsidR="00716283" w:rsidRPr="00716283" w:rsidRDefault="00716283" w:rsidP="00716283">
            <w:pPr>
              <w:spacing w:after="0" w:line="240" w:lineRule="auto"/>
              <w:jc w:val="right"/>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рублей</w:t>
            </w:r>
          </w:p>
        </w:tc>
      </w:tr>
      <w:tr w:rsidR="00716283" w:rsidRPr="00716283" w:rsidTr="00740D8D">
        <w:trPr>
          <w:trHeight w:val="132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 xml:space="preserve">Раздел </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proofErr w:type="spellStart"/>
            <w:r w:rsidRPr="00716283">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План</w:t>
            </w:r>
          </w:p>
        </w:tc>
        <w:tc>
          <w:tcPr>
            <w:tcW w:w="813" w:type="dxa"/>
            <w:gridSpan w:val="2"/>
            <w:tcBorders>
              <w:top w:val="single" w:sz="4" w:space="0" w:color="auto"/>
              <w:left w:val="nil"/>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Уд</w:t>
            </w:r>
            <w:proofErr w:type="gramStart"/>
            <w:r w:rsidRPr="00716283">
              <w:rPr>
                <w:rFonts w:ascii="Times New Roman" w:eastAsia="Times New Roman" w:hAnsi="Times New Roman" w:cs="Times New Roman"/>
                <w:b/>
                <w:bCs/>
                <w:sz w:val="20"/>
                <w:szCs w:val="20"/>
                <w:lang w:eastAsia="ru-RU"/>
              </w:rPr>
              <w:t>.</w:t>
            </w:r>
            <w:proofErr w:type="gramEnd"/>
            <w:r w:rsidRPr="00716283">
              <w:rPr>
                <w:rFonts w:ascii="Times New Roman" w:eastAsia="Times New Roman" w:hAnsi="Times New Roman" w:cs="Times New Roman"/>
                <w:b/>
                <w:bCs/>
                <w:sz w:val="20"/>
                <w:szCs w:val="20"/>
                <w:lang w:eastAsia="ru-RU"/>
              </w:rPr>
              <w:t xml:space="preserve"> </w:t>
            </w:r>
            <w:proofErr w:type="gramStart"/>
            <w:r w:rsidRPr="00716283">
              <w:rPr>
                <w:rFonts w:ascii="Times New Roman" w:eastAsia="Times New Roman" w:hAnsi="Times New Roman" w:cs="Times New Roman"/>
                <w:b/>
                <w:bCs/>
                <w:sz w:val="20"/>
                <w:szCs w:val="20"/>
                <w:lang w:eastAsia="ru-RU"/>
              </w:rPr>
              <w:t>в</w:t>
            </w:r>
            <w:proofErr w:type="gramEnd"/>
            <w:r w:rsidRPr="00716283">
              <w:rPr>
                <w:rFonts w:ascii="Times New Roman" w:eastAsia="Times New Roman" w:hAnsi="Times New Roman" w:cs="Times New Roman"/>
                <w:b/>
                <w:bCs/>
                <w:sz w:val="20"/>
                <w:szCs w:val="20"/>
                <w:lang w:eastAsia="ru-RU"/>
              </w:rPr>
              <w:t xml:space="preserve">ес в общ. сумме </w:t>
            </w:r>
            <w:proofErr w:type="spellStart"/>
            <w:r w:rsidRPr="00716283">
              <w:rPr>
                <w:rFonts w:ascii="Times New Roman" w:eastAsia="Times New Roman" w:hAnsi="Times New Roman" w:cs="Times New Roman"/>
                <w:b/>
                <w:bCs/>
                <w:sz w:val="20"/>
                <w:szCs w:val="20"/>
                <w:lang w:eastAsia="ru-RU"/>
              </w:rPr>
              <w:t>расх</w:t>
            </w:r>
            <w:proofErr w:type="spellEnd"/>
            <w:r w:rsidRPr="00716283">
              <w:rPr>
                <w:rFonts w:ascii="Times New Roman" w:eastAsia="Times New Roman" w:hAnsi="Times New Roman" w:cs="Times New Roman"/>
                <w:b/>
                <w:bCs/>
                <w:sz w:val="20"/>
                <w:szCs w:val="20"/>
                <w:lang w:eastAsia="ru-RU"/>
              </w:rPr>
              <w:t>.</w:t>
            </w:r>
            <w:r w:rsidRPr="00716283">
              <w:rPr>
                <w:rFonts w:ascii="Times New Roman" w:eastAsia="Times New Roman" w:hAnsi="Times New Roman" w:cs="Times New Roman"/>
                <w:b/>
                <w:bCs/>
                <w:sz w:val="20"/>
                <w:szCs w:val="20"/>
                <w:lang w:eastAsia="ru-RU"/>
              </w:rPr>
              <w:br/>
              <w:t>%</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Факт</w:t>
            </w:r>
          </w:p>
        </w:tc>
        <w:tc>
          <w:tcPr>
            <w:tcW w:w="824" w:type="dxa"/>
            <w:gridSpan w:val="2"/>
            <w:tcBorders>
              <w:top w:val="single" w:sz="4" w:space="0" w:color="auto"/>
              <w:left w:val="nil"/>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Уд</w:t>
            </w:r>
            <w:proofErr w:type="gramStart"/>
            <w:r w:rsidRPr="00716283">
              <w:rPr>
                <w:rFonts w:ascii="Times New Roman" w:eastAsia="Times New Roman" w:hAnsi="Times New Roman" w:cs="Times New Roman"/>
                <w:b/>
                <w:bCs/>
                <w:sz w:val="20"/>
                <w:szCs w:val="20"/>
                <w:lang w:eastAsia="ru-RU"/>
              </w:rPr>
              <w:t>.</w:t>
            </w:r>
            <w:proofErr w:type="gramEnd"/>
            <w:r w:rsidRPr="00716283">
              <w:rPr>
                <w:rFonts w:ascii="Times New Roman" w:eastAsia="Times New Roman" w:hAnsi="Times New Roman" w:cs="Times New Roman"/>
                <w:b/>
                <w:bCs/>
                <w:sz w:val="20"/>
                <w:szCs w:val="20"/>
                <w:lang w:eastAsia="ru-RU"/>
              </w:rPr>
              <w:t xml:space="preserve"> </w:t>
            </w:r>
            <w:proofErr w:type="gramStart"/>
            <w:r w:rsidRPr="00716283">
              <w:rPr>
                <w:rFonts w:ascii="Times New Roman" w:eastAsia="Times New Roman" w:hAnsi="Times New Roman" w:cs="Times New Roman"/>
                <w:b/>
                <w:bCs/>
                <w:sz w:val="20"/>
                <w:szCs w:val="20"/>
                <w:lang w:eastAsia="ru-RU"/>
              </w:rPr>
              <w:t>в</w:t>
            </w:r>
            <w:proofErr w:type="gramEnd"/>
            <w:r w:rsidRPr="00716283">
              <w:rPr>
                <w:rFonts w:ascii="Times New Roman" w:eastAsia="Times New Roman" w:hAnsi="Times New Roman" w:cs="Times New Roman"/>
                <w:b/>
                <w:bCs/>
                <w:sz w:val="20"/>
                <w:szCs w:val="20"/>
                <w:lang w:eastAsia="ru-RU"/>
              </w:rPr>
              <w:t xml:space="preserve">ес в общ. сумме </w:t>
            </w:r>
            <w:proofErr w:type="spellStart"/>
            <w:r w:rsidRPr="00716283">
              <w:rPr>
                <w:rFonts w:ascii="Times New Roman" w:eastAsia="Times New Roman" w:hAnsi="Times New Roman" w:cs="Times New Roman"/>
                <w:b/>
                <w:bCs/>
                <w:sz w:val="20"/>
                <w:szCs w:val="20"/>
                <w:lang w:eastAsia="ru-RU"/>
              </w:rPr>
              <w:t>расх</w:t>
            </w:r>
            <w:proofErr w:type="spellEnd"/>
            <w:r w:rsidRPr="00716283">
              <w:rPr>
                <w:rFonts w:ascii="Times New Roman" w:eastAsia="Times New Roman" w:hAnsi="Times New Roman" w:cs="Times New Roman"/>
                <w:b/>
                <w:bCs/>
                <w:sz w:val="20"/>
                <w:szCs w:val="20"/>
                <w:lang w:eastAsia="ru-RU"/>
              </w:rPr>
              <w:t>.</w:t>
            </w:r>
            <w:r w:rsidRPr="00716283">
              <w:rPr>
                <w:rFonts w:ascii="Times New Roman" w:eastAsia="Times New Roman" w:hAnsi="Times New Roman" w:cs="Times New Roman"/>
                <w:b/>
                <w:bCs/>
                <w:sz w:val="20"/>
                <w:szCs w:val="20"/>
                <w:lang w:eastAsia="ru-RU"/>
              </w:rPr>
              <w:br/>
              <w:t>%</w:t>
            </w:r>
          </w:p>
        </w:tc>
        <w:tc>
          <w:tcPr>
            <w:tcW w:w="1161" w:type="dxa"/>
            <w:tcBorders>
              <w:top w:val="single" w:sz="4" w:space="0" w:color="auto"/>
              <w:left w:val="nil"/>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proofErr w:type="spellStart"/>
            <w:r w:rsidRPr="00716283">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66" w:type="dxa"/>
            <w:tcBorders>
              <w:top w:val="single" w:sz="4" w:space="0" w:color="auto"/>
              <w:left w:val="nil"/>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6 849 585,2</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 </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6 760 758,3</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 </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88 826,9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98,7%</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430 039,4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6,3</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428 293,7</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6,3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1 745,8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99,6%</w:t>
            </w:r>
          </w:p>
        </w:tc>
      </w:tr>
      <w:tr w:rsidR="00716283" w:rsidRPr="00716283" w:rsidTr="00740D8D">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3 370,1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3 346,8</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23,3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99,3%</w:t>
            </w:r>
          </w:p>
        </w:tc>
      </w:tr>
      <w:tr w:rsidR="00716283" w:rsidRPr="00716283" w:rsidTr="00740D8D">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57 344,7</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0,8</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57 342,2</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0,8</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76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231 165,0</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3,4</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230 560,5</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3,4</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604,5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99,7%</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Судебная система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20,7</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20,7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r>
      <w:tr w:rsidR="00716283" w:rsidRPr="00716283" w:rsidTr="00740D8D">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Обеспечение деятельности финансовых, налоговых и таможенных органов и органов финансового (финансово-бюджетного) надзора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79 389,4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79 176,6</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212,7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99,7%</w:t>
            </w:r>
          </w:p>
        </w:tc>
      </w:tr>
      <w:tr w:rsidR="00716283" w:rsidRPr="00716283" w:rsidTr="00740D8D">
        <w:trPr>
          <w:trHeight w:val="8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346,9</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346,9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r>
      <w:tr w:rsidR="00716283" w:rsidRPr="00716283" w:rsidTr="00740D8D">
        <w:trPr>
          <w:trHeight w:val="27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58 402,5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57 867,5</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535,0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99,1%</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567,2</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567,2</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567,2</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567,2</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25 374,4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0,4</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21 222,6</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4 151,8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83,6%</w:t>
            </w:r>
          </w:p>
        </w:tc>
      </w:tr>
      <w:tr w:rsidR="00716283" w:rsidRPr="00716283" w:rsidTr="00740D8D">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Защита населения и территории от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25 374,4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21 222,6</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4 151,8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83,6%</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593 547,9</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8,7</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543 534,6</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50 013,3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91,6%</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Сельское хозяйство и рыболовство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10 894,3</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10 885,8</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99,9%</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lastRenderedPageBreak/>
              <w:t>Дорожное хозяйство (дорожные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536 608,4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7,8</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486 604,2</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7,2</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50 004,2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90,7%</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46 045,3</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0,7</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46 044,6</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0,7</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b/>
                <w:bCs/>
                <w:color w:val="000000"/>
                <w:sz w:val="20"/>
                <w:szCs w:val="20"/>
                <w:lang w:eastAsia="ru-RU"/>
              </w:rPr>
            </w:pPr>
            <w:r w:rsidRPr="00716283">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1 712 370,6</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25,0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1 704 178,3</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25,2</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8 192,2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99,5%</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736 404,9</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10,8</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728 342,1</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10,8</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8 062,8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98,9%</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230 416,1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3,4</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230 337,9</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3,4</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78,2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726 791,4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10,6</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726 789,9</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10,8</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вопросы в области жилищно-коммунального хозяйства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18 758,1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18 708,4</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49,7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99,7%</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2 488 446,0</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36,3</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2 481 437,5</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36,7</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7 008,5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99,7%</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Дошкольное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555 953,1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8,1</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552 285,3</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8,2</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3 667,8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99,3%</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Общее образование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1 768 766,6</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25,8</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1 766 044,1</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26,1</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2 722,5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99,8%</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вопросы в области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07</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163 726,3</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2,4</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163 108,1</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2,4</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618,2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99,6%</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80 006,1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1,2</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79 949,4</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1,2</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56,6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99,9%</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60 763,5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60 763,5</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 xml:space="preserve">Другие вопросы в области культуры, кинематографии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19 242,6</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19 185,9</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56,6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99,7%</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Здравоохранение</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398 279,0</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5,8</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396 152,4</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5,9</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2 126,7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99,5%</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Стационарная медицинская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129 114,5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1,9</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128 712,0</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1,9</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402,5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99,7%</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Амбулаторная помощь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93 137,9</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1,4</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92 440,5</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1,4</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697,4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99,3%</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Скорая медицинская помощь</w:t>
            </w:r>
          </w:p>
        </w:tc>
        <w:tc>
          <w:tcPr>
            <w:tcW w:w="82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108 605,1</w:t>
            </w:r>
          </w:p>
        </w:tc>
        <w:tc>
          <w:tcPr>
            <w:tcW w:w="813"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1,6</w:t>
            </w:r>
          </w:p>
        </w:tc>
        <w:tc>
          <w:tcPr>
            <w:tcW w:w="1313"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107 578,4</w:t>
            </w:r>
          </w:p>
        </w:tc>
        <w:tc>
          <w:tcPr>
            <w:tcW w:w="824" w:type="dxa"/>
            <w:gridSpan w:val="2"/>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1,6</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1 026,7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99,1%</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вопросы в области здравоохранения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67 421,5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67 421,5</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Социальная политика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1 027 574,4</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15,0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1 012 705,8</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15,0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14 868,6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98,6%</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Социальное обслуживание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116 607,1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1,7</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116 598,8</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1,7</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Социальное обеспечение населения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828 670,6</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12,1</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814 371,2</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14 299,4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98,3%</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Охрана семьи и детства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39 558,2</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39 000,1</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558,0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98,6%</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вопросы в области социальной политики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42 738,5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42 735,7</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0,6</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89 312,5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1,3</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88 649,1</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663,4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99,3%</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70 826,9</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70 826,9</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Прикладные научные исследования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634,1</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634,1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17 851,5</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17 822,2</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0,3</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29,3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99,8%</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Средства массовой информации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2 837,7</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2 837,7</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100,0%</w:t>
            </w:r>
          </w:p>
        </w:tc>
      </w:tr>
      <w:tr w:rsidR="00716283" w:rsidRPr="00716283"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Периодическая печать и издательства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2 837,7</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2 837,7</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Обслуживание государственного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1 230,0</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1 230,0</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b/>
                <w:bCs/>
                <w:sz w:val="20"/>
                <w:szCs w:val="20"/>
                <w:lang w:eastAsia="ru-RU"/>
              </w:rPr>
            </w:pPr>
            <w:r w:rsidRPr="00716283">
              <w:rPr>
                <w:rFonts w:ascii="Times New Roman" w:eastAsia="Times New Roman" w:hAnsi="Times New Roman" w:cs="Times New Roman"/>
                <w:b/>
                <w:bCs/>
                <w:sz w:val="20"/>
                <w:szCs w:val="20"/>
                <w:lang w:eastAsia="ru-RU"/>
              </w:rPr>
              <w:t>100,0%</w:t>
            </w:r>
          </w:p>
        </w:tc>
      </w:tr>
      <w:tr w:rsidR="00716283" w:rsidRPr="00716283"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16283" w:rsidRPr="00716283" w:rsidRDefault="00716283" w:rsidP="00716283">
            <w:pPr>
              <w:spacing w:after="0" w:line="240" w:lineRule="auto"/>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Обслуживание государственного внутреннего и муниципального долга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1 230,0</w:t>
            </w:r>
          </w:p>
        </w:tc>
        <w:tc>
          <w:tcPr>
            <w:tcW w:w="8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313"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1 230,0</w:t>
            </w:r>
          </w:p>
        </w:tc>
        <w:tc>
          <w:tcPr>
            <w:tcW w:w="824" w:type="dxa"/>
            <w:gridSpan w:val="2"/>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1161" w:type="dxa"/>
            <w:tcBorders>
              <w:top w:val="single" w:sz="4" w:space="0" w:color="auto"/>
              <w:left w:val="nil"/>
              <w:bottom w:val="single" w:sz="4" w:space="0" w:color="auto"/>
              <w:right w:val="single" w:sz="4" w:space="0" w:color="auto"/>
            </w:tcBorders>
            <w:shd w:val="clear" w:color="000000" w:fill="FFFFFF"/>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16283" w:rsidRPr="00716283" w:rsidRDefault="00716283" w:rsidP="00716283">
            <w:pPr>
              <w:spacing w:after="0" w:line="240" w:lineRule="auto"/>
              <w:jc w:val="center"/>
              <w:rPr>
                <w:rFonts w:ascii="Times New Roman" w:eastAsia="Times New Roman" w:hAnsi="Times New Roman" w:cs="Times New Roman"/>
                <w:sz w:val="20"/>
                <w:szCs w:val="20"/>
                <w:lang w:eastAsia="ru-RU"/>
              </w:rPr>
            </w:pPr>
            <w:r w:rsidRPr="00716283">
              <w:rPr>
                <w:rFonts w:ascii="Times New Roman" w:eastAsia="Times New Roman" w:hAnsi="Times New Roman" w:cs="Times New Roman"/>
                <w:sz w:val="20"/>
                <w:szCs w:val="20"/>
                <w:lang w:eastAsia="ru-RU"/>
              </w:rPr>
              <w:t>100,0%</w:t>
            </w:r>
          </w:p>
        </w:tc>
      </w:tr>
      <w:tr w:rsidR="00740D8D" w:rsidRPr="00740D8D" w:rsidTr="00740D8D">
        <w:trPr>
          <w:trHeight w:val="255"/>
        </w:trPr>
        <w:tc>
          <w:tcPr>
            <w:tcW w:w="10364" w:type="dxa"/>
            <w:gridSpan w:val="12"/>
            <w:tcBorders>
              <w:top w:val="nil"/>
              <w:left w:val="nil"/>
              <w:bottom w:val="nil"/>
              <w:right w:val="nil"/>
            </w:tcBorders>
            <w:shd w:val="clear" w:color="auto" w:fill="auto"/>
            <w:noWrap/>
            <w:vAlign w:val="bottom"/>
            <w:hideMark/>
          </w:tcPr>
          <w:p w:rsidR="00740D8D" w:rsidRPr="00740D8D" w:rsidRDefault="00C16CA0" w:rsidP="00C16CA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lastRenderedPageBreak/>
              <w:t>Структура р</w:t>
            </w:r>
            <w:r w:rsidR="00740D8D" w:rsidRPr="00740D8D">
              <w:rPr>
                <w:rFonts w:ascii="Times New Roman" w:eastAsia="Times New Roman" w:hAnsi="Times New Roman" w:cs="Times New Roman"/>
                <w:b/>
                <w:bCs/>
                <w:sz w:val="24"/>
                <w:szCs w:val="24"/>
                <w:lang w:eastAsia="ru-RU"/>
              </w:rPr>
              <w:t>асход</w:t>
            </w:r>
            <w:r>
              <w:rPr>
                <w:rFonts w:ascii="Times New Roman" w:eastAsia="Times New Roman" w:hAnsi="Times New Roman" w:cs="Times New Roman"/>
                <w:b/>
                <w:bCs/>
                <w:sz w:val="24"/>
                <w:szCs w:val="24"/>
                <w:lang w:eastAsia="ru-RU"/>
              </w:rPr>
              <w:t>ов</w:t>
            </w:r>
            <w:r w:rsidR="00740D8D" w:rsidRPr="00740D8D">
              <w:rPr>
                <w:rFonts w:ascii="Times New Roman" w:eastAsia="Times New Roman" w:hAnsi="Times New Roman" w:cs="Times New Roman"/>
                <w:b/>
                <w:bCs/>
                <w:sz w:val="24"/>
                <w:szCs w:val="24"/>
                <w:lang w:eastAsia="ru-RU"/>
              </w:rPr>
              <w:t xml:space="preserve"> бюджетов поселений за 2012 год по ФКР</w:t>
            </w:r>
          </w:p>
        </w:tc>
      </w:tr>
      <w:tr w:rsidR="00740D8D" w:rsidRPr="00740D8D" w:rsidTr="00740D8D">
        <w:trPr>
          <w:trHeight w:val="255"/>
        </w:trPr>
        <w:tc>
          <w:tcPr>
            <w:tcW w:w="2552"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p>
        </w:tc>
        <w:tc>
          <w:tcPr>
            <w:tcW w:w="821"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p>
        </w:tc>
        <w:tc>
          <w:tcPr>
            <w:tcW w:w="738"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p>
        </w:tc>
        <w:tc>
          <w:tcPr>
            <w:tcW w:w="1276"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p>
        </w:tc>
        <w:tc>
          <w:tcPr>
            <w:tcW w:w="833" w:type="dxa"/>
            <w:gridSpan w:val="3"/>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p>
        </w:tc>
        <w:tc>
          <w:tcPr>
            <w:tcW w:w="1293"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jc w:val="right"/>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ед. изм.</w:t>
            </w:r>
          </w:p>
        </w:tc>
        <w:tc>
          <w:tcPr>
            <w:tcW w:w="821" w:type="dxa"/>
            <w:gridSpan w:val="2"/>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jc w:val="right"/>
              <w:rPr>
                <w:rFonts w:ascii="Times New Roman" w:eastAsia="Times New Roman" w:hAnsi="Times New Roman" w:cs="Times New Roman"/>
                <w:b/>
                <w:bCs/>
                <w:sz w:val="20"/>
                <w:szCs w:val="20"/>
                <w:lang w:eastAsia="ru-RU"/>
              </w:rPr>
            </w:pPr>
          </w:p>
        </w:tc>
        <w:tc>
          <w:tcPr>
            <w:tcW w:w="1164"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jc w:val="right"/>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 xml:space="preserve">тыс. </w:t>
            </w:r>
          </w:p>
        </w:tc>
        <w:tc>
          <w:tcPr>
            <w:tcW w:w="866" w:type="dxa"/>
            <w:tcBorders>
              <w:top w:val="nil"/>
              <w:left w:val="nil"/>
              <w:bottom w:val="single" w:sz="4" w:space="0" w:color="auto"/>
              <w:right w:val="nil"/>
            </w:tcBorders>
            <w:shd w:val="clear" w:color="auto" w:fill="auto"/>
            <w:noWrap/>
            <w:vAlign w:val="bottom"/>
            <w:hideMark/>
          </w:tcPr>
          <w:p w:rsidR="00740D8D" w:rsidRPr="00740D8D" w:rsidRDefault="00740D8D" w:rsidP="00740D8D">
            <w:pPr>
              <w:spacing w:after="0" w:line="240" w:lineRule="auto"/>
              <w:jc w:val="right"/>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рублей</w:t>
            </w:r>
          </w:p>
        </w:tc>
      </w:tr>
      <w:tr w:rsidR="00740D8D" w:rsidRPr="00740D8D" w:rsidTr="00740D8D">
        <w:trPr>
          <w:trHeight w:val="138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Наименование по БК</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 xml:space="preserve">Раздел </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proofErr w:type="spellStart"/>
            <w:r w:rsidRPr="00740D8D">
              <w:rPr>
                <w:rFonts w:ascii="Times New Roman" w:eastAsia="Times New Roman" w:hAnsi="Times New Roman" w:cs="Times New Roman"/>
                <w:b/>
                <w:bCs/>
                <w:sz w:val="20"/>
                <w:szCs w:val="20"/>
                <w:lang w:eastAsia="ru-RU"/>
              </w:rPr>
              <w:t>Подр</w:t>
            </w:r>
            <w:proofErr w:type="spellEnd"/>
            <w:r>
              <w:rPr>
                <w:rFonts w:ascii="Times New Roman" w:eastAsia="Times New Roman" w:hAnsi="Times New Roman" w:cs="Times New Roman"/>
                <w:b/>
                <w:bCs/>
                <w:sz w:val="20"/>
                <w:szCs w:val="20"/>
                <w:lang w:eastAsia="ru-RU"/>
              </w:rPr>
              <w:t>.</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План</w:t>
            </w:r>
          </w:p>
        </w:tc>
        <w:tc>
          <w:tcPr>
            <w:tcW w:w="833" w:type="dxa"/>
            <w:gridSpan w:val="3"/>
            <w:tcBorders>
              <w:top w:val="single" w:sz="4" w:space="0" w:color="auto"/>
              <w:left w:val="nil"/>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Уд</w:t>
            </w:r>
            <w:proofErr w:type="gramStart"/>
            <w:r w:rsidRPr="00740D8D">
              <w:rPr>
                <w:rFonts w:ascii="Times New Roman" w:eastAsia="Times New Roman" w:hAnsi="Times New Roman" w:cs="Times New Roman"/>
                <w:b/>
                <w:bCs/>
                <w:sz w:val="20"/>
                <w:szCs w:val="20"/>
                <w:lang w:eastAsia="ru-RU"/>
              </w:rPr>
              <w:t>.</w:t>
            </w:r>
            <w:proofErr w:type="gramEnd"/>
            <w:r w:rsidRPr="00740D8D">
              <w:rPr>
                <w:rFonts w:ascii="Times New Roman" w:eastAsia="Times New Roman" w:hAnsi="Times New Roman" w:cs="Times New Roman"/>
                <w:b/>
                <w:bCs/>
                <w:sz w:val="20"/>
                <w:szCs w:val="20"/>
                <w:lang w:eastAsia="ru-RU"/>
              </w:rPr>
              <w:t xml:space="preserve"> </w:t>
            </w:r>
            <w:proofErr w:type="gramStart"/>
            <w:r w:rsidRPr="00740D8D">
              <w:rPr>
                <w:rFonts w:ascii="Times New Roman" w:eastAsia="Times New Roman" w:hAnsi="Times New Roman" w:cs="Times New Roman"/>
                <w:b/>
                <w:bCs/>
                <w:sz w:val="20"/>
                <w:szCs w:val="20"/>
                <w:lang w:eastAsia="ru-RU"/>
              </w:rPr>
              <w:t>в</w:t>
            </w:r>
            <w:proofErr w:type="gramEnd"/>
            <w:r w:rsidRPr="00740D8D">
              <w:rPr>
                <w:rFonts w:ascii="Times New Roman" w:eastAsia="Times New Roman" w:hAnsi="Times New Roman" w:cs="Times New Roman"/>
                <w:b/>
                <w:bCs/>
                <w:sz w:val="20"/>
                <w:szCs w:val="20"/>
                <w:lang w:eastAsia="ru-RU"/>
              </w:rPr>
              <w:t xml:space="preserve">ес в общ. сумме </w:t>
            </w:r>
            <w:proofErr w:type="spellStart"/>
            <w:r w:rsidRPr="00740D8D">
              <w:rPr>
                <w:rFonts w:ascii="Times New Roman" w:eastAsia="Times New Roman" w:hAnsi="Times New Roman" w:cs="Times New Roman"/>
                <w:b/>
                <w:bCs/>
                <w:sz w:val="20"/>
                <w:szCs w:val="20"/>
                <w:lang w:eastAsia="ru-RU"/>
              </w:rPr>
              <w:t>расх</w:t>
            </w:r>
            <w:proofErr w:type="spellEnd"/>
            <w:r w:rsidRPr="00740D8D">
              <w:rPr>
                <w:rFonts w:ascii="Times New Roman" w:eastAsia="Times New Roman" w:hAnsi="Times New Roman" w:cs="Times New Roman"/>
                <w:b/>
                <w:bCs/>
                <w:sz w:val="20"/>
                <w:szCs w:val="20"/>
                <w:lang w:eastAsia="ru-RU"/>
              </w:rPr>
              <w:t>.</w:t>
            </w:r>
            <w:r w:rsidRPr="00740D8D">
              <w:rPr>
                <w:rFonts w:ascii="Times New Roman" w:eastAsia="Times New Roman" w:hAnsi="Times New Roman" w:cs="Times New Roman"/>
                <w:b/>
                <w:bCs/>
                <w:sz w:val="20"/>
                <w:szCs w:val="20"/>
                <w:lang w:eastAsia="ru-RU"/>
              </w:rPr>
              <w:br/>
              <w:t>%</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Факт</w:t>
            </w:r>
          </w:p>
        </w:tc>
        <w:tc>
          <w:tcPr>
            <w:tcW w:w="821" w:type="dxa"/>
            <w:gridSpan w:val="2"/>
            <w:tcBorders>
              <w:top w:val="single" w:sz="4" w:space="0" w:color="auto"/>
              <w:left w:val="nil"/>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Уд</w:t>
            </w:r>
            <w:proofErr w:type="gramStart"/>
            <w:r w:rsidRPr="00740D8D">
              <w:rPr>
                <w:rFonts w:ascii="Times New Roman" w:eastAsia="Times New Roman" w:hAnsi="Times New Roman" w:cs="Times New Roman"/>
                <w:b/>
                <w:bCs/>
                <w:sz w:val="20"/>
                <w:szCs w:val="20"/>
                <w:lang w:eastAsia="ru-RU"/>
              </w:rPr>
              <w:t>.</w:t>
            </w:r>
            <w:proofErr w:type="gramEnd"/>
            <w:r w:rsidRPr="00740D8D">
              <w:rPr>
                <w:rFonts w:ascii="Times New Roman" w:eastAsia="Times New Roman" w:hAnsi="Times New Roman" w:cs="Times New Roman"/>
                <w:b/>
                <w:bCs/>
                <w:sz w:val="20"/>
                <w:szCs w:val="20"/>
                <w:lang w:eastAsia="ru-RU"/>
              </w:rPr>
              <w:t xml:space="preserve"> </w:t>
            </w:r>
            <w:proofErr w:type="gramStart"/>
            <w:r w:rsidRPr="00740D8D">
              <w:rPr>
                <w:rFonts w:ascii="Times New Roman" w:eastAsia="Times New Roman" w:hAnsi="Times New Roman" w:cs="Times New Roman"/>
                <w:b/>
                <w:bCs/>
                <w:sz w:val="20"/>
                <w:szCs w:val="20"/>
                <w:lang w:eastAsia="ru-RU"/>
              </w:rPr>
              <w:t>в</w:t>
            </w:r>
            <w:proofErr w:type="gramEnd"/>
            <w:r w:rsidRPr="00740D8D">
              <w:rPr>
                <w:rFonts w:ascii="Times New Roman" w:eastAsia="Times New Roman" w:hAnsi="Times New Roman" w:cs="Times New Roman"/>
                <w:b/>
                <w:bCs/>
                <w:sz w:val="20"/>
                <w:szCs w:val="20"/>
                <w:lang w:eastAsia="ru-RU"/>
              </w:rPr>
              <w:t xml:space="preserve">ес в общ. сумме </w:t>
            </w:r>
            <w:proofErr w:type="spellStart"/>
            <w:r w:rsidRPr="00740D8D">
              <w:rPr>
                <w:rFonts w:ascii="Times New Roman" w:eastAsia="Times New Roman" w:hAnsi="Times New Roman" w:cs="Times New Roman"/>
                <w:b/>
                <w:bCs/>
                <w:sz w:val="20"/>
                <w:szCs w:val="20"/>
                <w:lang w:eastAsia="ru-RU"/>
              </w:rPr>
              <w:t>расх</w:t>
            </w:r>
            <w:proofErr w:type="spellEnd"/>
            <w:r w:rsidRPr="00740D8D">
              <w:rPr>
                <w:rFonts w:ascii="Times New Roman" w:eastAsia="Times New Roman" w:hAnsi="Times New Roman" w:cs="Times New Roman"/>
                <w:b/>
                <w:bCs/>
                <w:sz w:val="20"/>
                <w:szCs w:val="20"/>
                <w:lang w:eastAsia="ru-RU"/>
              </w:rPr>
              <w:t>.</w:t>
            </w:r>
            <w:r w:rsidRPr="00740D8D">
              <w:rPr>
                <w:rFonts w:ascii="Times New Roman" w:eastAsia="Times New Roman" w:hAnsi="Times New Roman" w:cs="Times New Roman"/>
                <w:b/>
                <w:bCs/>
                <w:sz w:val="20"/>
                <w:szCs w:val="20"/>
                <w:lang w:eastAsia="ru-RU"/>
              </w:rPr>
              <w:br/>
              <w:t>%</w:t>
            </w:r>
          </w:p>
        </w:tc>
        <w:tc>
          <w:tcPr>
            <w:tcW w:w="1164" w:type="dxa"/>
            <w:tcBorders>
              <w:top w:val="single" w:sz="4" w:space="0" w:color="auto"/>
              <w:left w:val="nil"/>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proofErr w:type="spellStart"/>
            <w:r w:rsidRPr="00740D8D">
              <w:rPr>
                <w:rFonts w:ascii="Times New Roman" w:eastAsia="Times New Roman" w:hAnsi="Times New Roman" w:cs="Times New Roman"/>
                <w:b/>
                <w:bCs/>
                <w:sz w:val="20"/>
                <w:szCs w:val="20"/>
                <w:lang w:eastAsia="ru-RU"/>
              </w:rPr>
              <w:t>Откл</w:t>
            </w:r>
            <w:proofErr w:type="spellEnd"/>
            <w:r>
              <w:rPr>
                <w:rFonts w:ascii="Times New Roman" w:eastAsia="Times New Roman" w:hAnsi="Times New Roman" w:cs="Times New Roman"/>
                <w:b/>
                <w:bCs/>
                <w:sz w:val="20"/>
                <w:szCs w:val="20"/>
                <w:lang w:eastAsia="ru-RU"/>
              </w:rPr>
              <w:t>.</w:t>
            </w:r>
          </w:p>
        </w:tc>
        <w:tc>
          <w:tcPr>
            <w:tcW w:w="866" w:type="dxa"/>
            <w:tcBorders>
              <w:top w:val="single" w:sz="4" w:space="0" w:color="auto"/>
              <w:left w:val="nil"/>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Итого: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1 104 731,4</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 </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1 019 160,7</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 </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85 570,7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92,3%</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527 726,5</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47,8</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508 810,9</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49,9</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18 915,6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96,4%</w:t>
            </w:r>
          </w:p>
        </w:tc>
      </w:tr>
      <w:tr w:rsidR="00740D8D" w:rsidRPr="00740D8D" w:rsidTr="00740D8D">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Функционирование высшего должностного лица субъекта Российской Федерации и муниципального образования</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56 789,7</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5,1</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56 018,2</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5,5</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771,4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98,6%</w:t>
            </w:r>
          </w:p>
        </w:tc>
      </w:tr>
      <w:tr w:rsidR="00740D8D" w:rsidRPr="00740D8D" w:rsidTr="00740D8D">
        <w:trPr>
          <w:trHeight w:val="127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6 015,4</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6 003,9</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0,6</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11,5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99,8%</w:t>
            </w:r>
          </w:p>
        </w:tc>
      </w:tr>
      <w:tr w:rsidR="00740D8D" w:rsidRPr="00740D8D" w:rsidTr="00740D8D">
        <w:trPr>
          <w:trHeight w:val="127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461 091,9</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41,7</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443 593,4</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43,5</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17 498,5</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96,2%</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Резервные фонды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639,5</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5,4</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634,1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0,8%</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Другие общегосударственные вопросы</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3 190,0</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3 190,0</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100,0%</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Национальная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28 907,7</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2,6</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28 887,5</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2,8</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20,2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99,9%</w:t>
            </w:r>
          </w:p>
        </w:tc>
      </w:tr>
      <w:tr w:rsidR="00740D8D" w:rsidRPr="00740D8D"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Мобилизационная и вневойсковая подготовка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02</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28 907,7</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2,6</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28 887,5</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2,8</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20,2</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99,9%</w:t>
            </w:r>
          </w:p>
        </w:tc>
      </w:tr>
      <w:tr w:rsidR="00740D8D" w:rsidRPr="00740D8D"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Национальная безопасность и правоохранительная деятельность</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8 617,9</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0,8</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8 609,8</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0,8</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8,1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99,9%</w:t>
            </w:r>
          </w:p>
        </w:tc>
      </w:tr>
      <w:tr w:rsidR="00740D8D" w:rsidRPr="00740D8D" w:rsidTr="00740D8D">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Защита населения и территории от чрезвычайных ситуаций природного и техногенного характера, гражданская оборона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8 617,9</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0,8</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8 609,8</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0,8</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8,1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99,9%</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Национальная экономика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15 607,8</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1,4</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15 597,6</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1,5</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10,3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99,9%</w:t>
            </w:r>
          </w:p>
        </w:tc>
      </w:tr>
      <w:tr w:rsidR="00740D8D" w:rsidRPr="00740D8D"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Другие вопросы в области национальной экономики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15 607,8</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1,4</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15 597,6</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1,5</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10,3</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99,9%</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b/>
                <w:bCs/>
                <w:color w:val="000000"/>
                <w:sz w:val="20"/>
                <w:szCs w:val="20"/>
                <w:lang w:eastAsia="ru-RU"/>
              </w:rPr>
            </w:pPr>
            <w:r w:rsidRPr="00740D8D">
              <w:rPr>
                <w:rFonts w:ascii="Times New Roman" w:eastAsia="Times New Roman" w:hAnsi="Times New Roman" w:cs="Times New Roman"/>
                <w:b/>
                <w:bCs/>
                <w:color w:val="000000"/>
                <w:sz w:val="20"/>
                <w:szCs w:val="20"/>
                <w:lang w:eastAsia="ru-RU"/>
              </w:rPr>
              <w:t>Жилищно-коммунальное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282 802,4</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25,6</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253 077,0</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24,8</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29 725,4</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89,5%</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Жилищное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12 846,5</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1,2</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10 609,6</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2 236,9</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82,6%</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Коммунальное хозяйство</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02</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8 127,2</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0,7</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4 731,4</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3 395,8</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58,2%</w:t>
            </w:r>
          </w:p>
        </w:tc>
      </w:tr>
      <w:tr w:rsidR="00740D8D" w:rsidRPr="00740D8D" w:rsidTr="00740D8D">
        <w:trPr>
          <w:trHeight w:val="255"/>
        </w:trPr>
        <w:tc>
          <w:tcPr>
            <w:tcW w:w="2552" w:type="dxa"/>
            <w:tcBorders>
              <w:top w:val="single" w:sz="4" w:space="0" w:color="auto"/>
              <w:left w:val="single" w:sz="4" w:space="0" w:color="auto"/>
              <w:bottom w:val="single" w:sz="4" w:space="0" w:color="auto"/>
              <w:right w:val="nil"/>
            </w:tcBorders>
            <w:shd w:val="clear" w:color="auto" w:fill="auto"/>
            <w:noWrap/>
            <w:vAlign w:val="bottom"/>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Благоустройство</w:t>
            </w:r>
          </w:p>
        </w:tc>
        <w:tc>
          <w:tcPr>
            <w:tcW w:w="8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261 828,7</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23,7</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237 736,0</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23,3</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24 092,7</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90,8%</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 xml:space="preserve">Культура, кинематография </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166 778,7</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15,1</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152 989,2</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15,0</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13 789,6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91,7%</w:t>
            </w:r>
          </w:p>
        </w:tc>
      </w:tr>
      <w:tr w:rsidR="00740D8D" w:rsidRPr="00740D8D" w:rsidTr="00740D8D">
        <w:trPr>
          <w:trHeight w:val="61"/>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166 579,7</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15,1</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152 790,2</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15,0</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13 789,6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91,7%</w:t>
            </w:r>
          </w:p>
        </w:tc>
      </w:tr>
      <w:tr w:rsidR="00740D8D" w:rsidRPr="00740D8D"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lastRenderedPageBreak/>
              <w:t>Другие вопросы в области культуры, кинематографии</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08</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199,0</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0,0</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199,0</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0,0</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100,0%</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Физическая культура и спорт</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39 965,5</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3,6</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39 960,4</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3,9</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5,1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100,0%</w:t>
            </w:r>
          </w:p>
        </w:tc>
      </w:tr>
      <w:tr w:rsidR="00740D8D" w:rsidRPr="00740D8D" w:rsidTr="00740D8D">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Физическая культура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4 999,0</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4 999,0</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0,0</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100,0%</w:t>
            </w:r>
          </w:p>
        </w:tc>
      </w:tr>
      <w:tr w:rsidR="00740D8D" w:rsidRPr="00740D8D"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Другие вопросы в области физической культуры и спорта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11</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34 966,5</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3,2</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34 961,4</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3,4</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5,1</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100,0%</w:t>
            </w:r>
          </w:p>
        </w:tc>
      </w:tr>
      <w:tr w:rsidR="00740D8D" w:rsidRPr="00740D8D" w:rsidTr="00740D8D">
        <w:trPr>
          <w:trHeight w:val="1020"/>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Межбюджетные трансферты общего характера бюджетам субъектов Российской Федерации и муниципальных образований</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34 324,9</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3,1</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11 228,3</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1,1</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23 096,6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b/>
                <w:bCs/>
                <w:sz w:val="20"/>
                <w:szCs w:val="20"/>
                <w:lang w:eastAsia="ru-RU"/>
              </w:rPr>
            </w:pPr>
            <w:r w:rsidRPr="00740D8D">
              <w:rPr>
                <w:rFonts w:ascii="Times New Roman" w:eastAsia="Times New Roman" w:hAnsi="Times New Roman" w:cs="Times New Roman"/>
                <w:b/>
                <w:bCs/>
                <w:sz w:val="20"/>
                <w:szCs w:val="20"/>
                <w:lang w:eastAsia="ru-RU"/>
              </w:rPr>
              <w:t>32,7%</w:t>
            </w:r>
          </w:p>
        </w:tc>
      </w:tr>
      <w:tr w:rsidR="00740D8D" w:rsidRPr="00740D8D" w:rsidTr="00740D8D">
        <w:trPr>
          <w:trHeight w:val="510"/>
        </w:trPr>
        <w:tc>
          <w:tcPr>
            <w:tcW w:w="2552" w:type="dxa"/>
            <w:tcBorders>
              <w:top w:val="single" w:sz="4" w:space="0" w:color="auto"/>
              <w:left w:val="single" w:sz="4" w:space="0" w:color="auto"/>
              <w:bottom w:val="single" w:sz="4" w:space="0" w:color="auto"/>
              <w:right w:val="single" w:sz="4" w:space="0" w:color="auto"/>
            </w:tcBorders>
            <w:shd w:val="clear" w:color="auto" w:fill="auto"/>
            <w:hideMark/>
          </w:tcPr>
          <w:p w:rsidR="00740D8D" w:rsidRPr="00740D8D" w:rsidRDefault="00740D8D" w:rsidP="00740D8D">
            <w:pPr>
              <w:spacing w:after="0" w:line="240" w:lineRule="auto"/>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Прочие межбюджетные трансферты общего характера</w:t>
            </w:r>
          </w:p>
        </w:tc>
        <w:tc>
          <w:tcPr>
            <w:tcW w:w="821"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14</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03</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34 324,9</w:t>
            </w:r>
          </w:p>
        </w:tc>
        <w:tc>
          <w:tcPr>
            <w:tcW w:w="833" w:type="dxa"/>
            <w:gridSpan w:val="3"/>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3,1</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11 228,3</w:t>
            </w:r>
          </w:p>
        </w:tc>
        <w:tc>
          <w:tcPr>
            <w:tcW w:w="821" w:type="dxa"/>
            <w:gridSpan w:val="2"/>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1,1</w:t>
            </w:r>
          </w:p>
        </w:tc>
        <w:tc>
          <w:tcPr>
            <w:tcW w:w="1164"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23 096,6</w:t>
            </w:r>
          </w:p>
        </w:tc>
        <w:tc>
          <w:tcPr>
            <w:tcW w:w="866" w:type="dxa"/>
            <w:tcBorders>
              <w:top w:val="single" w:sz="4" w:space="0" w:color="auto"/>
              <w:left w:val="nil"/>
              <w:bottom w:val="single" w:sz="4" w:space="0" w:color="auto"/>
              <w:right w:val="single" w:sz="4" w:space="0" w:color="auto"/>
            </w:tcBorders>
            <w:shd w:val="clear" w:color="auto" w:fill="auto"/>
            <w:noWrap/>
            <w:vAlign w:val="center"/>
            <w:hideMark/>
          </w:tcPr>
          <w:p w:rsidR="00740D8D" w:rsidRPr="00740D8D" w:rsidRDefault="00740D8D" w:rsidP="00740D8D">
            <w:pPr>
              <w:spacing w:after="0" w:line="240" w:lineRule="auto"/>
              <w:jc w:val="center"/>
              <w:rPr>
                <w:rFonts w:ascii="Times New Roman" w:eastAsia="Times New Roman" w:hAnsi="Times New Roman" w:cs="Times New Roman"/>
                <w:sz w:val="20"/>
                <w:szCs w:val="20"/>
                <w:lang w:eastAsia="ru-RU"/>
              </w:rPr>
            </w:pPr>
            <w:r w:rsidRPr="00740D8D">
              <w:rPr>
                <w:rFonts w:ascii="Times New Roman" w:eastAsia="Times New Roman" w:hAnsi="Times New Roman" w:cs="Times New Roman"/>
                <w:sz w:val="20"/>
                <w:szCs w:val="20"/>
                <w:lang w:eastAsia="ru-RU"/>
              </w:rPr>
              <w:t>32,7%</w:t>
            </w:r>
          </w:p>
        </w:tc>
      </w:tr>
    </w:tbl>
    <w:p w:rsidR="00740D8D" w:rsidRDefault="00740D8D" w:rsidP="00A05F1A">
      <w:pPr>
        <w:spacing w:after="0" w:line="360" w:lineRule="auto"/>
        <w:ind w:left="-567"/>
        <w:jc w:val="both"/>
        <w:rPr>
          <w:rFonts w:ascii="Times New Roman" w:hAnsi="Times New Roman" w:cs="Times New Roman"/>
          <w:b/>
          <w:sz w:val="24"/>
          <w:szCs w:val="24"/>
        </w:rPr>
      </w:pPr>
    </w:p>
    <w:p w:rsidR="008A553E" w:rsidRDefault="008A553E" w:rsidP="00A05F1A">
      <w:pPr>
        <w:spacing w:after="0" w:line="360" w:lineRule="auto"/>
        <w:ind w:left="-567"/>
        <w:jc w:val="both"/>
        <w:rPr>
          <w:rFonts w:ascii="Times New Roman" w:hAnsi="Times New Roman" w:cs="Times New Roman"/>
          <w:b/>
          <w:sz w:val="24"/>
          <w:szCs w:val="24"/>
        </w:rPr>
      </w:pPr>
    </w:p>
    <w:tbl>
      <w:tblPr>
        <w:tblW w:w="10348" w:type="dxa"/>
        <w:tblInd w:w="-459" w:type="dxa"/>
        <w:tblLayout w:type="fixed"/>
        <w:tblLook w:val="04A0" w:firstRow="1" w:lastRow="0" w:firstColumn="1" w:lastColumn="0" w:noHBand="0" w:noVBand="1"/>
      </w:tblPr>
      <w:tblGrid>
        <w:gridCol w:w="3261"/>
        <w:gridCol w:w="1660"/>
        <w:gridCol w:w="1360"/>
        <w:gridCol w:w="1440"/>
        <w:gridCol w:w="1300"/>
        <w:gridCol w:w="1327"/>
      </w:tblGrid>
      <w:tr w:rsidR="005C6BD0" w:rsidRPr="005C6BD0" w:rsidTr="005C6BD0">
        <w:trPr>
          <w:trHeight w:val="720"/>
        </w:trPr>
        <w:tc>
          <w:tcPr>
            <w:tcW w:w="10348" w:type="dxa"/>
            <w:gridSpan w:val="6"/>
            <w:tcBorders>
              <w:top w:val="nil"/>
              <w:left w:val="nil"/>
              <w:bottom w:val="nil"/>
              <w:right w:val="nil"/>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4"/>
                <w:szCs w:val="24"/>
                <w:lang w:eastAsia="ru-RU"/>
              </w:rPr>
            </w:pPr>
            <w:r w:rsidRPr="005C6BD0">
              <w:rPr>
                <w:rFonts w:ascii="Times New Roman" w:eastAsia="Times New Roman" w:hAnsi="Times New Roman" w:cs="Times New Roman"/>
                <w:b/>
                <w:bCs/>
                <w:sz w:val="24"/>
                <w:szCs w:val="24"/>
                <w:lang w:eastAsia="ru-RU"/>
              </w:rPr>
              <w:t xml:space="preserve">Соотношение текущих и капитальных расходов </w:t>
            </w:r>
            <w:r w:rsidRPr="005C6BD0">
              <w:rPr>
                <w:rFonts w:ascii="Times New Roman" w:eastAsia="Times New Roman" w:hAnsi="Times New Roman" w:cs="Times New Roman"/>
                <w:b/>
                <w:bCs/>
                <w:sz w:val="24"/>
                <w:szCs w:val="24"/>
                <w:lang w:eastAsia="ru-RU"/>
              </w:rPr>
              <w:br/>
              <w:t>консолидированного бюджета ЧР в динамике лет</w:t>
            </w:r>
          </w:p>
        </w:tc>
      </w:tr>
      <w:tr w:rsidR="005C6BD0" w:rsidRPr="005C6BD0" w:rsidTr="005C6BD0">
        <w:trPr>
          <w:trHeight w:val="255"/>
        </w:trPr>
        <w:tc>
          <w:tcPr>
            <w:tcW w:w="3261" w:type="dxa"/>
            <w:tcBorders>
              <w:top w:val="nil"/>
              <w:left w:val="nil"/>
              <w:bottom w:val="single" w:sz="4" w:space="0" w:color="auto"/>
              <w:right w:val="nil"/>
            </w:tcBorders>
            <w:shd w:val="clear" w:color="auto" w:fill="auto"/>
            <w:noWrap/>
            <w:vAlign w:val="bottom"/>
            <w:hideMark/>
          </w:tcPr>
          <w:p w:rsidR="005C6BD0" w:rsidRPr="005C6BD0" w:rsidRDefault="005C6BD0" w:rsidP="005C6BD0">
            <w:pPr>
              <w:spacing w:after="0" w:line="240" w:lineRule="auto"/>
              <w:rPr>
                <w:rFonts w:ascii="Arial CYR" w:eastAsia="Times New Roman" w:hAnsi="Arial CYR" w:cs="Arial CYR"/>
                <w:sz w:val="20"/>
                <w:szCs w:val="20"/>
                <w:lang w:eastAsia="ru-RU"/>
              </w:rPr>
            </w:pPr>
          </w:p>
        </w:tc>
        <w:tc>
          <w:tcPr>
            <w:tcW w:w="1660" w:type="dxa"/>
            <w:tcBorders>
              <w:top w:val="nil"/>
              <w:left w:val="nil"/>
              <w:bottom w:val="single" w:sz="4" w:space="0" w:color="auto"/>
              <w:right w:val="nil"/>
            </w:tcBorders>
            <w:shd w:val="clear" w:color="auto" w:fill="auto"/>
            <w:noWrap/>
            <w:vAlign w:val="bottom"/>
            <w:hideMark/>
          </w:tcPr>
          <w:p w:rsidR="005C6BD0" w:rsidRPr="005C6BD0" w:rsidRDefault="005C6BD0" w:rsidP="005C6BD0">
            <w:pPr>
              <w:spacing w:after="0" w:line="240" w:lineRule="auto"/>
              <w:rPr>
                <w:rFonts w:ascii="Arial CYR" w:eastAsia="Times New Roman" w:hAnsi="Arial CYR" w:cs="Arial CYR"/>
                <w:sz w:val="20"/>
                <w:szCs w:val="20"/>
                <w:lang w:eastAsia="ru-RU"/>
              </w:rPr>
            </w:pPr>
          </w:p>
        </w:tc>
        <w:tc>
          <w:tcPr>
            <w:tcW w:w="1360" w:type="dxa"/>
            <w:tcBorders>
              <w:top w:val="nil"/>
              <w:left w:val="nil"/>
              <w:bottom w:val="single" w:sz="4" w:space="0" w:color="auto"/>
              <w:right w:val="nil"/>
            </w:tcBorders>
            <w:shd w:val="clear" w:color="auto" w:fill="auto"/>
            <w:noWrap/>
            <w:vAlign w:val="bottom"/>
            <w:hideMark/>
          </w:tcPr>
          <w:p w:rsidR="005C6BD0" w:rsidRPr="005C6BD0" w:rsidRDefault="005C6BD0" w:rsidP="005C6BD0">
            <w:pPr>
              <w:spacing w:after="0" w:line="240" w:lineRule="auto"/>
              <w:rPr>
                <w:rFonts w:ascii="Arial CYR" w:eastAsia="Times New Roman" w:hAnsi="Arial CYR" w:cs="Arial CYR"/>
                <w:sz w:val="20"/>
                <w:szCs w:val="20"/>
                <w:lang w:eastAsia="ru-RU"/>
              </w:rPr>
            </w:pPr>
          </w:p>
        </w:tc>
        <w:tc>
          <w:tcPr>
            <w:tcW w:w="1440" w:type="dxa"/>
            <w:tcBorders>
              <w:top w:val="nil"/>
              <w:left w:val="nil"/>
              <w:bottom w:val="single" w:sz="4" w:space="0" w:color="auto"/>
              <w:right w:val="nil"/>
            </w:tcBorders>
            <w:shd w:val="clear" w:color="auto" w:fill="auto"/>
            <w:noWrap/>
            <w:vAlign w:val="bottom"/>
            <w:hideMark/>
          </w:tcPr>
          <w:p w:rsidR="005C6BD0" w:rsidRPr="005C6BD0" w:rsidRDefault="005C6BD0" w:rsidP="005C6BD0">
            <w:pPr>
              <w:spacing w:after="0" w:line="240" w:lineRule="auto"/>
              <w:rPr>
                <w:rFonts w:ascii="Arial CYR" w:eastAsia="Times New Roman" w:hAnsi="Arial CYR" w:cs="Arial CYR"/>
                <w:sz w:val="20"/>
                <w:szCs w:val="20"/>
                <w:lang w:eastAsia="ru-RU"/>
              </w:rPr>
            </w:pPr>
          </w:p>
        </w:tc>
        <w:tc>
          <w:tcPr>
            <w:tcW w:w="1300" w:type="dxa"/>
            <w:tcBorders>
              <w:top w:val="nil"/>
              <w:left w:val="nil"/>
              <w:bottom w:val="single" w:sz="4" w:space="0" w:color="auto"/>
              <w:right w:val="nil"/>
            </w:tcBorders>
            <w:shd w:val="clear" w:color="auto" w:fill="auto"/>
            <w:noWrap/>
            <w:vAlign w:val="bottom"/>
            <w:hideMark/>
          </w:tcPr>
          <w:p w:rsidR="005C6BD0" w:rsidRPr="005C6BD0" w:rsidRDefault="005C6BD0" w:rsidP="005C6BD0">
            <w:pPr>
              <w:spacing w:after="0" w:line="240" w:lineRule="auto"/>
              <w:jc w:val="right"/>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xml:space="preserve">ед. изм. </w:t>
            </w:r>
          </w:p>
        </w:tc>
        <w:tc>
          <w:tcPr>
            <w:tcW w:w="1327" w:type="dxa"/>
            <w:tcBorders>
              <w:top w:val="nil"/>
              <w:left w:val="nil"/>
              <w:bottom w:val="single" w:sz="4" w:space="0" w:color="auto"/>
              <w:right w:val="nil"/>
            </w:tcBorders>
            <w:shd w:val="clear" w:color="auto" w:fill="auto"/>
            <w:noWrap/>
            <w:vAlign w:val="bottom"/>
            <w:hideMark/>
          </w:tcPr>
          <w:p w:rsidR="005C6BD0" w:rsidRPr="005C6BD0" w:rsidRDefault="005C6BD0" w:rsidP="005C6BD0">
            <w:pPr>
              <w:spacing w:after="0" w:line="240" w:lineRule="auto"/>
              <w:jc w:val="right"/>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тыс. руб.</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2006г.</w:t>
            </w:r>
          </w:p>
        </w:tc>
      </w:tr>
      <w:tr w:rsidR="005C6BD0" w:rsidRPr="005C6BD0" w:rsidTr="005C6BD0">
        <w:trPr>
          <w:trHeight w:val="51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Наименование расхода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План</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Уд</w:t>
            </w:r>
            <w:proofErr w:type="gramStart"/>
            <w:r w:rsidRPr="005C6BD0">
              <w:rPr>
                <w:rFonts w:ascii="Times New Roman" w:eastAsia="Times New Roman" w:hAnsi="Times New Roman" w:cs="Times New Roman"/>
                <w:b/>
                <w:bCs/>
                <w:sz w:val="20"/>
                <w:szCs w:val="20"/>
                <w:lang w:eastAsia="ru-RU"/>
              </w:rPr>
              <w:t>.</w:t>
            </w:r>
            <w:proofErr w:type="gramEnd"/>
            <w:r w:rsidRPr="005C6BD0">
              <w:rPr>
                <w:rFonts w:ascii="Times New Roman" w:eastAsia="Times New Roman" w:hAnsi="Times New Roman" w:cs="Times New Roman"/>
                <w:b/>
                <w:bCs/>
                <w:sz w:val="20"/>
                <w:szCs w:val="20"/>
                <w:lang w:eastAsia="ru-RU"/>
              </w:rPr>
              <w:t xml:space="preserve"> </w:t>
            </w:r>
            <w:proofErr w:type="gramStart"/>
            <w:r w:rsidRPr="005C6BD0">
              <w:rPr>
                <w:rFonts w:ascii="Times New Roman" w:eastAsia="Times New Roman" w:hAnsi="Times New Roman" w:cs="Times New Roman"/>
                <w:b/>
                <w:bCs/>
                <w:sz w:val="20"/>
                <w:szCs w:val="20"/>
                <w:lang w:eastAsia="ru-RU"/>
              </w:rPr>
              <w:t>в</w:t>
            </w:r>
            <w:proofErr w:type="gramEnd"/>
            <w:r w:rsidRPr="005C6BD0">
              <w:rPr>
                <w:rFonts w:ascii="Times New Roman" w:eastAsia="Times New Roman" w:hAnsi="Times New Roman" w:cs="Times New Roman"/>
                <w:b/>
                <w:bCs/>
                <w:sz w:val="20"/>
                <w:szCs w:val="20"/>
                <w:lang w:eastAsia="ru-RU"/>
              </w:rPr>
              <w:t>ес в общ. расходах</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Факт</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Уд</w:t>
            </w:r>
            <w:proofErr w:type="gramStart"/>
            <w:r w:rsidRPr="005C6BD0">
              <w:rPr>
                <w:rFonts w:ascii="Times New Roman" w:eastAsia="Times New Roman" w:hAnsi="Times New Roman" w:cs="Times New Roman"/>
                <w:b/>
                <w:bCs/>
                <w:sz w:val="20"/>
                <w:szCs w:val="20"/>
                <w:lang w:eastAsia="ru-RU"/>
              </w:rPr>
              <w:t>.</w:t>
            </w:r>
            <w:proofErr w:type="gramEnd"/>
            <w:r w:rsidRPr="005C6BD0">
              <w:rPr>
                <w:rFonts w:ascii="Times New Roman" w:eastAsia="Times New Roman" w:hAnsi="Times New Roman" w:cs="Times New Roman"/>
                <w:b/>
                <w:bCs/>
                <w:sz w:val="20"/>
                <w:szCs w:val="20"/>
                <w:lang w:eastAsia="ru-RU"/>
              </w:rPr>
              <w:t xml:space="preserve"> </w:t>
            </w:r>
            <w:proofErr w:type="gramStart"/>
            <w:r w:rsidRPr="005C6BD0">
              <w:rPr>
                <w:rFonts w:ascii="Times New Roman" w:eastAsia="Times New Roman" w:hAnsi="Times New Roman" w:cs="Times New Roman"/>
                <w:b/>
                <w:bCs/>
                <w:sz w:val="20"/>
                <w:szCs w:val="20"/>
                <w:lang w:eastAsia="ru-RU"/>
              </w:rPr>
              <w:t>в</w:t>
            </w:r>
            <w:proofErr w:type="gramEnd"/>
            <w:r w:rsidRPr="005C6BD0">
              <w:rPr>
                <w:rFonts w:ascii="Times New Roman" w:eastAsia="Times New Roman" w:hAnsi="Times New Roman" w:cs="Times New Roman"/>
                <w:b/>
                <w:bCs/>
                <w:sz w:val="20"/>
                <w:szCs w:val="20"/>
                <w:lang w:eastAsia="ru-RU"/>
              </w:rPr>
              <w:t>ес в общ. расходах</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Процент исполнения</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33 619 144,2</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27 376 117,4</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81,4%</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19 096 417,0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56,8%</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18 370 560,5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67,1%</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96,2%</w:t>
            </w:r>
          </w:p>
        </w:tc>
      </w:tr>
      <w:tr w:rsidR="005C6BD0" w:rsidRPr="005C6BD0" w:rsidTr="005C6BD0">
        <w:trPr>
          <w:trHeight w:val="27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14 522 727,2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43,2%</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9 005 556,9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32,9%</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62,0%</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2007г.</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63 598 882,9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Arial CYR" w:eastAsia="Times New Roman" w:hAnsi="Arial CYR" w:cs="Arial CYR"/>
                <w:b/>
                <w:bCs/>
                <w:sz w:val="20"/>
                <w:szCs w:val="20"/>
                <w:lang w:eastAsia="ru-RU"/>
              </w:rPr>
            </w:pPr>
            <w:r w:rsidRPr="005C6BD0">
              <w:rPr>
                <w:rFonts w:ascii="Arial CYR" w:eastAsia="Times New Roman" w:hAnsi="Arial CYR" w:cs="Arial CYR"/>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60 600 571,3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95,3%</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26 416 072,1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41,5%</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24 877 825,5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41,1%</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94,2%</w:t>
            </w:r>
          </w:p>
        </w:tc>
      </w:tr>
      <w:tr w:rsidR="005C6BD0" w:rsidRPr="005C6BD0" w:rsidTr="005C6BD0">
        <w:trPr>
          <w:trHeight w:val="30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37 182 810,8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58,5%</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35 722 745,8</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58,9%</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96,1%</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2008г.</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90 223 898,9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63 931 778,6</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70,9%</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54 252 672,7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60,1%</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33 403 186,3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52,2%</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61,6%</w:t>
            </w:r>
          </w:p>
        </w:tc>
      </w:tr>
      <w:tr w:rsidR="005C6BD0" w:rsidRPr="005C6BD0" w:rsidTr="005C6BD0">
        <w:trPr>
          <w:trHeight w:val="30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35 971 226,2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39,9%</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30 528 592,3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47,8%</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84,9%</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2009г.</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75 784 517,2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74 055 834,3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97,7%</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44 609 037,8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58,9%</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42 991 798,5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58,1%</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96,4%</w:t>
            </w:r>
          </w:p>
        </w:tc>
      </w:tr>
      <w:tr w:rsidR="005C6BD0" w:rsidRPr="005C6BD0" w:rsidTr="005C6BD0">
        <w:trPr>
          <w:trHeight w:val="27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31 175 479,4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41,1%</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31 064 035,8</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41,9%</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99,6%</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2010г.</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67 532 113,1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65 720 219,0</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97,3%</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43 883 067,2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65,0%</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42 289 388,9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64,3%</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96,4%</w:t>
            </w:r>
          </w:p>
        </w:tc>
      </w:tr>
      <w:tr w:rsidR="005C6BD0" w:rsidRPr="005C6BD0" w:rsidTr="005C6BD0">
        <w:trPr>
          <w:trHeight w:val="30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23 649 045,9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35,0%</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23 430 830,0</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35,7%</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99,1%</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2011г.</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82 767 903,6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80 791 844,3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97,6%</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49 075 726,6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59,3%</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47 406 881,1</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58,7%</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96,6%</w:t>
            </w:r>
          </w:p>
        </w:tc>
      </w:tr>
      <w:tr w:rsidR="005C6BD0" w:rsidRPr="005C6BD0" w:rsidTr="005C6BD0">
        <w:trPr>
          <w:trHeight w:val="300"/>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33 692 177,0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40,7%</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33 384 963,2</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41,3%</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99,1%</w:t>
            </w:r>
          </w:p>
        </w:tc>
      </w:tr>
      <w:tr w:rsidR="005C6BD0" w:rsidRPr="005C6BD0" w:rsidTr="005C6BD0">
        <w:trPr>
          <w:trHeight w:val="255"/>
        </w:trPr>
        <w:tc>
          <w:tcPr>
            <w:tcW w:w="10348"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2012г.</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80 623 682,4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77 531 881,5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 </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b/>
                <w:bCs/>
                <w:sz w:val="20"/>
                <w:szCs w:val="20"/>
                <w:lang w:eastAsia="ru-RU"/>
              </w:rPr>
            </w:pPr>
            <w:r w:rsidRPr="005C6BD0">
              <w:rPr>
                <w:rFonts w:ascii="Times New Roman" w:eastAsia="Times New Roman" w:hAnsi="Times New Roman" w:cs="Times New Roman"/>
                <w:b/>
                <w:bCs/>
                <w:sz w:val="20"/>
                <w:szCs w:val="20"/>
                <w:lang w:eastAsia="ru-RU"/>
              </w:rPr>
              <w:t>96,2%</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54 068 620,4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67,1%</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51 446 617,4</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66,4%</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95,2%</w:t>
            </w:r>
          </w:p>
        </w:tc>
      </w:tr>
      <w:tr w:rsidR="005C6BD0" w:rsidRPr="005C6BD0" w:rsidTr="005C6BD0">
        <w:trPr>
          <w:trHeight w:val="255"/>
        </w:trPr>
        <w:tc>
          <w:tcPr>
            <w:tcW w:w="32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26 555 062,0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32,9%</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26 085 264,1</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33,6%</w:t>
            </w:r>
          </w:p>
        </w:tc>
        <w:tc>
          <w:tcPr>
            <w:tcW w:w="1327" w:type="dxa"/>
            <w:tcBorders>
              <w:top w:val="single" w:sz="4" w:space="0" w:color="auto"/>
              <w:left w:val="nil"/>
              <w:bottom w:val="single" w:sz="4" w:space="0" w:color="auto"/>
              <w:right w:val="single" w:sz="4" w:space="0" w:color="auto"/>
            </w:tcBorders>
            <w:shd w:val="clear" w:color="auto" w:fill="auto"/>
            <w:noWrap/>
            <w:vAlign w:val="center"/>
            <w:hideMark/>
          </w:tcPr>
          <w:p w:rsidR="005C6BD0" w:rsidRPr="005C6BD0" w:rsidRDefault="005C6BD0" w:rsidP="005C6BD0">
            <w:pPr>
              <w:spacing w:after="0" w:line="240" w:lineRule="auto"/>
              <w:jc w:val="center"/>
              <w:rPr>
                <w:rFonts w:ascii="Times New Roman" w:eastAsia="Times New Roman" w:hAnsi="Times New Roman" w:cs="Times New Roman"/>
                <w:sz w:val="20"/>
                <w:szCs w:val="20"/>
                <w:lang w:eastAsia="ru-RU"/>
              </w:rPr>
            </w:pPr>
            <w:r w:rsidRPr="005C6BD0">
              <w:rPr>
                <w:rFonts w:ascii="Times New Roman" w:eastAsia="Times New Roman" w:hAnsi="Times New Roman" w:cs="Times New Roman"/>
                <w:sz w:val="20"/>
                <w:szCs w:val="20"/>
                <w:lang w:eastAsia="ru-RU"/>
              </w:rPr>
              <w:t>98,2%</w:t>
            </w:r>
          </w:p>
        </w:tc>
      </w:tr>
    </w:tbl>
    <w:p w:rsidR="005C6BD0" w:rsidRDefault="005C6BD0" w:rsidP="00A05F1A">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0C53B3B2" wp14:editId="022166B2">
            <wp:extent cx="6575898" cy="4124527"/>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F2F26" w:rsidRDefault="009F2F26" w:rsidP="00A05F1A">
      <w:pPr>
        <w:spacing w:after="0" w:line="360" w:lineRule="auto"/>
        <w:ind w:left="-567"/>
        <w:jc w:val="both"/>
        <w:rPr>
          <w:rFonts w:ascii="Times New Roman" w:hAnsi="Times New Roman" w:cs="Times New Roman"/>
          <w:b/>
          <w:sz w:val="24"/>
          <w:szCs w:val="24"/>
        </w:rPr>
      </w:pPr>
    </w:p>
    <w:p w:rsidR="005C6BD0" w:rsidRDefault="005C6BD0" w:rsidP="00A05F1A">
      <w:pPr>
        <w:spacing w:after="0" w:line="360" w:lineRule="auto"/>
        <w:ind w:left="-567"/>
        <w:jc w:val="both"/>
        <w:rPr>
          <w:rFonts w:ascii="Times New Roman" w:hAnsi="Times New Roman" w:cs="Times New Roman"/>
          <w:b/>
          <w:sz w:val="24"/>
          <w:szCs w:val="24"/>
        </w:rPr>
      </w:pPr>
    </w:p>
    <w:p w:rsidR="005C6BD0" w:rsidRDefault="001B6217" w:rsidP="00A05F1A">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566D6286" wp14:editId="3D69A0CC">
            <wp:extent cx="6507804" cy="3881337"/>
            <wp:effectExtent l="0" t="0" r="7620" b="508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AE2EA5" w:rsidRDefault="00AE2EA5" w:rsidP="00A05F1A">
      <w:pPr>
        <w:spacing w:after="0" w:line="360" w:lineRule="auto"/>
        <w:ind w:left="-567"/>
        <w:jc w:val="both"/>
        <w:rPr>
          <w:rFonts w:ascii="Times New Roman" w:hAnsi="Times New Roman" w:cs="Times New Roman"/>
          <w:b/>
          <w:sz w:val="24"/>
          <w:szCs w:val="24"/>
        </w:rPr>
      </w:pPr>
    </w:p>
    <w:p w:rsidR="006728A8" w:rsidRDefault="006728A8" w:rsidP="00A05F1A">
      <w:pPr>
        <w:spacing w:after="0" w:line="360" w:lineRule="auto"/>
        <w:ind w:left="-567"/>
        <w:jc w:val="both"/>
        <w:rPr>
          <w:rFonts w:ascii="Times New Roman" w:hAnsi="Times New Roman" w:cs="Times New Roman"/>
          <w:b/>
          <w:sz w:val="24"/>
          <w:szCs w:val="24"/>
        </w:rPr>
      </w:pPr>
    </w:p>
    <w:p w:rsidR="006728A8" w:rsidRDefault="006728A8" w:rsidP="00A05F1A">
      <w:pPr>
        <w:spacing w:after="0" w:line="360" w:lineRule="auto"/>
        <w:ind w:left="-567"/>
        <w:jc w:val="both"/>
        <w:rPr>
          <w:rFonts w:ascii="Times New Roman" w:hAnsi="Times New Roman" w:cs="Times New Roman"/>
          <w:b/>
          <w:sz w:val="24"/>
          <w:szCs w:val="24"/>
        </w:rPr>
        <w:sectPr w:rsidR="006728A8" w:rsidSect="006728A8">
          <w:pgSz w:w="11906" w:h="16838"/>
          <w:pgMar w:top="1134" w:right="850" w:bottom="1134" w:left="1701" w:header="708" w:footer="708" w:gutter="0"/>
          <w:cols w:space="708"/>
          <w:docGrid w:linePitch="360"/>
        </w:sectPr>
      </w:pPr>
    </w:p>
    <w:p w:rsidR="006728A8" w:rsidRDefault="006728A8" w:rsidP="00A05F1A">
      <w:pPr>
        <w:spacing w:after="0" w:line="360" w:lineRule="auto"/>
        <w:ind w:left="-567"/>
        <w:jc w:val="both"/>
        <w:rPr>
          <w:rFonts w:ascii="Times New Roman" w:hAnsi="Times New Roman" w:cs="Times New Roman"/>
          <w:b/>
          <w:sz w:val="24"/>
          <w:szCs w:val="24"/>
        </w:rPr>
      </w:pPr>
    </w:p>
    <w:tbl>
      <w:tblPr>
        <w:tblW w:w="15215" w:type="dxa"/>
        <w:tblInd w:w="108" w:type="dxa"/>
        <w:tblLook w:val="04A0" w:firstRow="1" w:lastRow="0" w:firstColumn="1" w:lastColumn="0" w:noHBand="0" w:noVBand="1"/>
      </w:tblPr>
      <w:tblGrid>
        <w:gridCol w:w="1985"/>
        <w:gridCol w:w="1568"/>
        <w:gridCol w:w="1275"/>
        <w:gridCol w:w="1134"/>
        <w:gridCol w:w="1417"/>
        <w:gridCol w:w="1276"/>
        <w:gridCol w:w="1135"/>
        <w:gridCol w:w="771"/>
        <w:gridCol w:w="1397"/>
        <w:gridCol w:w="1276"/>
        <w:gridCol w:w="1148"/>
        <w:gridCol w:w="833"/>
      </w:tblGrid>
      <w:tr w:rsidR="006728A8" w:rsidRPr="004C6AE3" w:rsidTr="006728A8">
        <w:trPr>
          <w:trHeight w:val="270"/>
        </w:trPr>
        <w:tc>
          <w:tcPr>
            <w:tcW w:w="15215" w:type="dxa"/>
            <w:gridSpan w:val="12"/>
            <w:tcBorders>
              <w:top w:val="nil"/>
              <w:left w:val="nil"/>
              <w:bottom w:val="single" w:sz="8" w:space="0" w:color="auto"/>
              <w:right w:val="nil"/>
            </w:tcBorders>
            <w:shd w:val="clear" w:color="auto" w:fill="auto"/>
            <w:noWrap/>
            <w:vAlign w:val="bottom"/>
            <w:hideMark/>
          </w:tcPr>
          <w:p w:rsidR="004C6AE3" w:rsidRDefault="004C6AE3" w:rsidP="004C6AE3">
            <w:pPr>
              <w:spacing w:after="0" w:line="240" w:lineRule="auto"/>
              <w:jc w:val="center"/>
              <w:rPr>
                <w:rFonts w:ascii="Times New Roman" w:eastAsia="Times New Roman" w:hAnsi="Times New Roman" w:cs="Times New Roman"/>
                <w:b/>
                <w:bCs/>
                <w:sz w:val="24"/>
                <w:szCs w:val="24"/>
                <w:lang w:eastAsia="ru-RU"/>
              </w:rPr>
            </w:pPr>
            <w:r w:rsidRPr="004C6AE3">
              <w:rPr>
                <w:rFonts w:ascii="Times New Roman" w:eastAsia="Times New Roman" w:hAnsi="Times New Roman" w:cs="Times New Roman"/>
                <w:b/>
                <w:bCs/>
                <w:sz w:val="24"/>
                <w:szCs w:val="24"/>
                <w:lang w:eastAsia="ru-RU"/>
              </w:rPr>
              <w:t>Динамика роста средней заработной платы по разделам в динамике лет</w:t>
            </w:r>
          </w:p>
          <w:p w:rsidR="00877810" w:rsidRPr="004C6AE3" w:rsidRDefault="00877810" w:rsidP="004C6AE3">
            <w:pPr>
              <w:spacing w:after="0" w:line="240" w:lineRule="auto"/>
              <w:jc w:val="center"/>
              <w:rPr>
                <w:rFonts w:ascii="Times New Roman" w:eastAsia="Times New Roman" w:hAnsi="Times New Roman" w:cs="Times New Roman"/>
                <w:b/>
                <w:bCs/>
                <w:sz w:val="24"/>
                <w:szCs w:val="24"/>
                <w:lang w:eastAsia="ru-RU"/>
              </w:rPr>
            </w:pPr>
          </w:p>
        </w:tc>
      </w:tr>
      <w:tr w:rsidR="006728A8" w:rsidRPr="004C6AE3" w:rsidTr="006728A8">
        <w:trPr>
          <w:trHeight w:val="270"/>
        </w:trPr>
        <w:tc>
          <w:tcPr>
            <w:tcW w:w="1985" w:type="dxa"/>
            <w:vMerge w:val="restart"/>
            <w:tcBorders>
              <w:top w:val="nil"/>
              <w:left w:val="single" w:sz="4" w:space="0" w:color="auto"/>
              <w:bottom w:val="single" w:sz="8" w:space="0" w:color="000000"/>
              <w:right w:val="single" w:sz="4"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Наименование</w:t>
            </w:r>
          </w:p>
        </w:tc>
        <w:tc>
          <w:tcPr>
            <w:tcW w:w="3977" w:type="dxa"/>
            <w:gridSpan w:val="3"/>
            <w:tcBorders>
              <w:top w:val="single" w:sz="8" w:space="0" w:color="auto"/>
              <w:left w:val="single" w:sz="8" w:space="0" w:color="auto"/>
              <w:bottom w:val="single" w:sz="8" w:space="0" w:color="auto"/>
              <w:right w:val="nil"/>
            </w:tcBorders>
            <w:shd w:val="clear" w:color="000000" w:fill="FFFFFF"/>
            <w:noWrap/>
            <w:vAlign w:val="bottom"/>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2010г.</w:t>
            </w:r>
          </w:p>
        </w:tc>
        <w:tc>
          <w:tcPr>
            <w:tcW w:w="4599" w:type="dxa"/>
            <w:gridSpan w:val="4"/>
            <w:tcBorders>
              <w:top w:val="single" w:sz="8" w:space="0" w:color="auto"/>
              <w:left w:val="single" w:sz="8" w:space="0" w:color="auto"/>
              <w:bottom w:val="nil"/>
              <w:right w:val="nil"/>
            </w:tcBorders>
            <w:shd w:val="clear" w:color="000000" w:fill="FFFFFF"/>
            <w:noWrap/>
            <w:vAlign w:val="bottom"/>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2011г.</w:t>
            </w:r>
          </w:p>
        </w:tc>
        <w:tc>
          <w:tcPr>
            <w:tcW w:w="4654" w:type="dxa"/>
            <w:gridSpan w:val="4"/>
            <w:tcBorders>
              <w:top w:val="single" w:sz="8" w:space="0" w:color="auto"/>
              <w:left w:val="single" w:sz="8" w:space="0" w:color="auto"/>
              <w:bottom w:val="single" w:sz="8" w:space="0" w:color="auto"/>
              <w:right w:val="single" w:sz="8" w:space="0" w:color="000000"/>
            </w:tcBorders>
            <w:shd w:val="clear" w:color="000000" w:fill="FFFFFF"/>
            <w:noWrap/>
            <w:vAlign w:val="bottom"/>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2012г.</w:t>
            </w:r>
          </w:p>
        </w:tc>
      </w:tr>
      <w:tr w:rsidR="004C6AE3" w:rsidRPr="00170A64" w:rsidTr="006728A8">
        <w:trPr>
          <w:trHeight w:val="810"/>
        </w:trPr>
        <w:tc>
          <w:tcPr>
            <w:tcW w:w="1985" w:type="dxa"/>
            <w:vMerge/>
            <w:tcBorders>
              <w:top w:val="nil"/>
              <w:left w:val="single" w:sz="4" w:space="0" w:color="auto"/>
              <w:bottom w:val="single" w:sz="8" w:space="0" w:color="000000"/>
              <w:right w:val="single" w:sz="4" w:space="0" w:color="auto"/>
            </w:tcBorders>
            <w:vAlign w:val="center"/>
            <w:hideMark/>
          </w:tcPr>
          <w:p w:rsidR="004C6AE3" w:rsidRPr="004C6AE3" w:rsidRDefault="004C6AE3" w:rsidP="004C6AE3">
            <w:pPr>
              <w:spacing w:after="0" w:line="240" w:lineRule="auto"/>
              <w:rPr>
                <w:rFonts w:ascii="Times New Roman" w:eastAsia="Times New Roman" w:hAnsi="Times New Roman" w:cs="Times New Roman"/>
                <w:b/>
                <w:bCs/>
                <w:sz w:val="20"/>
                <w:szCs w:val="20"/>
                <w:lang w:eastAsia="ru-RU"/>
              </w:rPr>
            </w:pPr>
          </w:p>
        </w:tc>
        <w:tc>
          <w:tcPr>
            <w:tcW w:w="1568" w:type="dxa"/>
            <w:tcBorders>
              <w:top w:val="nil"/>
              <w:left w:val="single" w:sz="8" w:space="0" w:color="auto"/>
              <w:bottom w:val="nil"/>
              <w:right w:val="nil"/>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 xml:space="preserve">Шт. </w:t>
            </w:r>
            <w:proofErr w:type="spellStart"/>
            <w:r w:rsidRPr="004C6AE3">
              <w:rPr>
                <w:rFonts w:ascii="Times New Roman" w:eastAsia="Times New Roman" w:hAnsi="Times New Roman" w:cs="Times New Roman"/>
                <w:b/>
                <w:bCs/>
                <w:sz w:val="20"/>
                <w:szCs w:val="20"/>
                <w:lang w:eastAsia="ru-RU"/>
              </w:rPr>
              <w:t>чис</w:t>
            </w:r>
            <w:proofErr w:type="spellEnd"/>
            <w:r w:rsidRPr="004C6AE3">
              <w:rPr>
                <w:rFonts w:ascii="Times New Roman" w:eastAsia="Times New Roman" w:hAnsi="Times New Roman" w:cs="Times New Roman"/>
                <w:b/>
                <w:bCs/>
                <w:sz w:val="20"/>
                <w:szCs w:val="20"/>
                <w:lang w:eastAsia="ru-RU"/>
              </w:rPr>
              <w:t>. сот-ков, чел.</w:t>
            </w:r>
          </w:p>
        </w:tc>
        <w:tc>
          <w:tcPr>
            <w:tcW w:w="1275" w:type="dxa"/>
            <w:tcBorders>
              <w:top w:val="nil"/>
              <w:left w:val="single" w:sz="8" w:space="0" w:color="auto"/>
              <w:bottom w:val="nil"/>
              <w:right w:val="single" w:sz="8"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proofErr w:type="spellStart"/>
            <w:r w:rsidRPr="004C6AE3">
              <w:rPr>
                <w:rFonts w:ascii="Times New Roman" w:eastAsia="Times New Roman" w:hAnsi="Times New Roman" w:cs="Times New Roman"/>
                <w:b/>
                <w:bCs/>
                <w:sz w:val="20"/>
                <w:szCs w:val="20"/>
                <w:lang w:eastAsia="ru-RU"/>
              </w:rPr>
              <w:t>Проф</w:t>
            </w:r>
            <w:proofErr w:type="spellEnd"/>
            <w:r w:rsidRPr="004C6AE3">
              <w:rPr>
                <w:rFonts w:ascii="Times New Roman" w:eastAsia="Times New Roman" w:hAnsi="Times New Roman" w:cs="Times New Roman"/>
                <w:b/>
                <w:bCs/>
                <w:sz w:val="20"/>
                <w:szCs w:val="20"/>
                <w:lang w:eastAsia="ru-RU"/>
              </w:rPr>
              <w:t>-но, тыс. руб.</w:t>
            </w:r>
          </w:p>
        </w:tc>
        <w:tc>
          <w:tcPr>
            <w:tcW w:w="1134" w:type="dxa"/>
            <w:tcBorders>
              <w:top w:val="nil"/>
              <w:left w:val="nil"/>
              <w:bottom w:val="nil"/>
              <w:right w:val="nil"/>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Сред. з/</w:t>
            </w:r>
            <w:proofErr w:type="gramStart"/>
            <w:r w:rsidRPr="004C6AE3">
              <w:rPr>
                <w:rFonts w:ascii="Times New Roman" w:eastAsia="Times New Roman" w:hAnsi="Times New Roman" w:cs="Times New Roman"/>
                <w:b/>
                <w:bCs/>
                <w:sz w:val="20"/>
                <w:szCs w:val="20"/>
                <w:lang w:eastAsia="ru-RU"/>
              </w:rPr>
              <w:t>п</w:t>
            </w:r>
            <w:proofErr w:type="gramEnd"/>
            <w:r w:rsidRPr="004C6AE3">
              <w:rPr>
                <w:rFonts w:ascii="Times New Roman" w:eastAsia="Times New Roman" w:hAnsi="Times New Roman" w:cs="Times New Roman"/>
                <w:b/>
                <w:bCs/>
                <w:sz w:val="20"/>
                <w:szCs w:val="20"/>
                <w:lang w:eastAsia="ru-RU"/>
              </w:rPr>
              <w:t xml:space="preserve"> руб.</w:t>
            </w:r>
          </w:p>
        </w:tc>
        <w:tc>
          <w:tcPr>
            <w:tcW w:w="1417"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 xml:space="preserve">Шт. </w:t>
            </w:r>
            <w:proofErr w:type="spellStart"/>
            <w:r w:rsidRPr="004C6AE3">
              <w:rPr>
                <w:rFonts w:ascii="Times New Roman" w:eastAsia="Times New Roman" w:hAnsi="Times New Roman" w:cs="Times New Roman"/>
                <w:b/>
                <w:bCs/>
                <w:sz w:val="20"/>
                <w:szCs w:val="20"/>
                <w:lang w:eastAsia="ru-RU"/>
              </w:rPr>
              <w:t>чис</w:t>
            </w:r>
            <w:proofErr w:type="spellEnd"/>
            <w:r w:rsidRPr="004C6AE3">
              <w:rPr>
                <w:rFonts w:ascii="Times New Roman" w:eastAsia="Times New Roman" w:hAnsi="Times New Roman" w:cs="Times New Roman"/>
                <w:b/>
                <w:bCs/>
                <w:sz w:val="20"/>
                <w:szCs w:val="20"/>
                <w:lang w:eastAsia="ru-RU"/>
              </w:rPr>
              <w:t>. сот-ков, чел.</w:t>
            </w:r>
          </w:p>
        </w:tc>
        <w:tc>
          <w:tcPr>
            <w:tcW w:w="1276" w:type="dxa"/>
            <w:tcBorders>
              <w:top w:val="single" w:sz="8" w:space="0" w:color="auto"/>
              <w:left w:val="nil"/>
              <w:bottom w:val="single" w:sz="8" w:space="0" w:color="auto"/>
              <w:right w:val="single" w:sz="8"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proofErr w:type="spellStart"/>
            <w:r w:rsidRPr="004C6AE3">
              <w:rPr>
                <w:rFonts w:ascii="Times New Roman" w:eastAsia="Times New Roman" w:hAnsi="Times New Roman" w:cs="Times New Roman"/>
                <w:b/>
                <w:bCs/>
                <w:sz w:val="20"/>
                <w:szCs w:val="20"/>
                <w:lang w:eastAsia="ru-RU"/>
              </w:rPr>
              <w:t>Проф</w:t>
            </w:r>
            <w:proofErr w:type="spellEnd"/>
            <w:r w:rsidRPr="004C6AE3">
              <w:rPr>
                <w:rFonts w:ascii="Times New Roman" w:eastAsia="Times New Roman" w:hAnsi="Times New Roman" w:cs="Times New Roman"/>
                <w:b/>
                <w:bCs/>
                <w:sz w:val="20"/>
                <w:szCs w:val="20"/>
                <w:lang w:eastAsia="ru-RU"/>
              </w:rPr>
              <w:t>-но, тыс. руб.</w:t>
            </w:r>
          </w:p>
        </w:tc>
        <w:tc>
          <w:tcPr>
            <w:tcW w:w="1135" w:type="dxa"/>
            <w:tcBorders>
              <w:top w:val="single" w:sz="8" w:space="0" w:color="auto"/>
              <w:left w:val="nil"/>
              <w:bottom w:val="nil"/>
              <w:right w:val="single" w:sz="4"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Сред. з/</w:t>
            </w:r>
            <w:proofErr w:type="gramStart"/>
            <w:r w:rsidRPr="004C6AE3">
              <w:rPr>
                <w:rFonts w:ascii="Times New Roman" w:eastAsia="Times New Roman" w:hAnsi="Times New Roman" w:cs="Times New Roman"/>
                <w:b/>
                <w:bCs/>
                <w:sz w:val="20"/>
                <w:szCs w:val="20"/>
                <w:lang w:eastAsia="ru-RU"/>
              </w:rPr>
              <w:t>п</w:t>
            </w:r>
            <w:proofErr w:type="gramEnd"/>
            <w:r w:rsidRPr="004C6AE3">
              <w:rPr>
                <w:rFonts w:ascii="Times New Roman" w:eastAsia="Times New Roman" w:hAnsi="Times New Roman" w:cs="Times New Roman"/>
                <w:b/>
                <w:bCs/>
                <w:sz w:val="20"/>
                <w:szCs w:val="20"/>
                <w:lang w:eastAsia="ru-RU"/>
              </w:rPr>
              <w:t xml:space="preserve"> руб.</w:t>
            </w:r>
          </w:p>
        </w:tc>
        <w:tc>
          <w:tcPr>
            <w:tcW w:w="771" w:type="dxa"/>
            <w:tcBorders>
              <w:top w:val="single" w:sz="8" w:space="0" w:color="auto"/>
              <w:left w:val="nil"/>
              <w:bottom w:val="nil"/>
              <w:right w:val="nil"/>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 роста</w:t>
            </w:r>
          </w:p>
        </w:tc>
        <w:tc>
          <w:tcPr>
            <w:tcW w:w="1397" w:type="dxa"/>
            <w:tcBorders>
              <w:top w:val="nil"/>
              <w:left w:val="single" w:sz="8" w:space="0" w:color="auto"/>
              <w:bottom w:val="single" w:sz="8" w:space="0" w:color="auto"/>
              <w:right w:val="single" w:sz="4"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 xml:space="preserve">Шт. </w:t>
            </w:r>
            <w:proofErr w:type="spellStart"/>
            <w:r w:rsidRPr="004C6AE3">
              <w:rPr>
                <w:rFonts w:ascii="Times New Roman" w:eastAsia="Times New Roman" w:hAnsi="Times New Roman" w:cs="Times New Roman"/>
                <w:b/>
                <w:bCs/>
                <w:sz w:val="20"/>
                <w:szCs w:val="20"/>
                <w:lang w:eastAsia="ru-RU"/>
              </w:rPr>
              <w:t>чис</w:t>
            </w:r>
            <w:proofErr w:type="spellEnd"/>
            <w:r w:rsidRPr="004C6AE3">
              <w:rPr>
                <w:rFonts w:ascii="Times New Roman" w:eastAsia="Times New Roman" w:hAnsi="Times New Roman" w:cs="Times New Roman"/>
                <w:b/>
                <w:bCs/>
                <w:sz w:val="20"/>
                <w:szCs w:val="20"/>
                <w:lang w:eastAsia="ru-RU"/>
              </w:rPr>
              <w:t>. сот-ков, чел.</w:t>
            </w:r>
          </w:p>
        </w:tc>
        <w:tc>
          <w:tcPr>
            <w:tcW w:w="1276" w:type="dxa"/>
            <w:tcBorders>
              <w:top w:val="nil"/>
              <w:left w:val="nil"/>
              <w:bottom w:val="single" w:sz="8" w:space="0" w:color="auto"/>
              <w:right w:val="single" w:sz="4"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proofErr w:type="spellStart"/>
            <w:r w:rsidRPr="004C6AE3">
              <w:rPr>
                <w:rFonts w:ascii="Times New Roman" w:eastAsia="Times New Roman" w:hAnsi="Times New Roman" w:cs="Times New Roman"/>
                <w:b/>
                <w:bCs/>
                <w:sz w:val="20"/>
                <w:szCs w:val="20"/>
                <w:lang w:eastAsia="ru-RU"/>
              </w:rPr>
              <w:t>Проф</w:t>
            </w:r>
            <w:proofErr w:type="spellEnd"/>
            <w:r w:rsidRPr="004C6AE3">
              <w:rPr>
                <w:rFonts w:ascii="Times New Roman" w:eastAsia="Times New Roman" w:hAnsi="Times New Roman" w:cs="Times New Roman"/>
                <w:b/>
                <w:bCs/>
                <w:sz w:val="20"/>
                <w:szCs w:val="20"/>
                <w:lang w:eastAsia="ru-RU"/>
              </w:rPr>
              <w:t>-но, тыс. руб.</w:t>
            </w:r>
          </w:p>
        </w:tc>
        <w:tc>
          <w:tcPr>
            <w:tcW w:w="1148" w:type="dxa"/>
            <w:tcBorders>
              <w:top w:val="nil"/>
              <w:left w:val="nil"/>
              <w:bottom w:val="single" w:sz="8" w:space="0" w:color="auto"/>
              <w:right w:val="single" w:sz="4"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Сред. з/</w:t>
            </w:r>
            <w:proofErr w:type="gramStart"/>
            <w:r w:rsidRPr="004C6AE3">
              <w:rPr>
                <w:rFonts w:ascii="Times New Roman" w:eastAsia="Times New Roman" w:hAnsi="Times New Roman" w:cs="Times New Roman"/>
                <w:b/>
                <w:bCs/>
                <w:sz w:val="20"/>
                <w:szCs w:val="20"/>
                <w:lang w:eastAsia="ru-RU"/>
              </w:rPr>
              <w:t>п</w:t>
            </w:r>
            <w:proofErr w:type="gramEnd"/>
            <w:r w:rsidRPr="004C6AE3">
              <w:rPr>
                <w:rFonts w:ascii="Times New Roman" w:eastAsia="Times New Roman" w:hAnsi="Times New Roman" w:cs="Times New Roman"/>
                <w:b/>
                <w:bCs/>
                <w:sz w:val="20"/>
                <w:szCs w:val="20"/>
                <w:lang w:eastAsia="ru-RU"/>
              </w:rPr>
              <w:t xml:space="preserve"> руб.</w:t>
            </w:r>
          </w:p>
        </w:tc>
        <w:tc>
          <w:tcPr>
            <w:tcW w:w="833" w:type="dxa"/>
            <w:tcBorders>
              <w:top w:val="nil"/>
              <w:left w:val="nil"/>
              <w:bottom w:val="single" w:sz="8" w:space="0" w:color="auto"/>
              <w:right w:val="single" w:sz="8" w:space="0" w:color="auto"/>
            </w:tcBorders>
            <w:shd w:val="clear" w:color="000000" w:fill="FFFFFF"/>
            <w:vAlign w:val="center"/>
            <w:hideMark/>
          </w:tcPr>
          <w:p w:rsidR="004C6AE3" w:rsidRPr="004C6AE3" w:rsidRDefault="004C6AE3" w:rsidP="004C6AE3">
            <w:pPr>
              <w:spacing w:after="0" w:line="240" w:lineRule="auto"/>
              <w:jc w:val="center"/>
              <w:rPr>
                <w:rFonts w:ascii="Times New Roman" w:eastAsia="Times New Roman" w:hAnsi="Times New Roman" w:cs="Times New Roman"/>
                <w:b/>
                <w:bCs/>
                <w:sz w:val="20"/>
                <w:szCs w:val="20"/>
                <w:lang w:eastAsia="ru-RU"/>
              </w:rPr>
            </w:pPr>
            <w:r w:rsidRPr="004C6AE3">
              <w:rPr>
                <w:rFonts w:ascii="Times New Roman" w:eastAsia="Times New Roman" w:hAnsi="Times New Roman" w:cs="Times New Roman"/>
                <w:b/>
                <w:bCs/>
                <w:sz w:val="20"/>
                <w:szCs w:val="20"/>
                <w:lang w:eastAsia="ru-RU"/>
              </w:rPr>
              <w:t>% роста</w:t>
            </w:r>
          </w:p>
        </w:tc>
      </w:tr>
      <w:tr w:rsidR="00170A64" w:rsidRPr="00170A64" w:rsidTr="00877810">
        <w:trPr>
          <w:trHeight w:val="540"/>
        </w:trPr>
        <w:tc>
          <w:tcPr>
            <w:tcW w:w="1985" w:type="dxa"/>
            <w:tcBorders>
              <w:top w:val="nil"/>
              <w:left w:val="single" w:sz="4" w:space="0" w:color="auto"/>
              <w:bottom w:val="single" w:sz="4" w:space="0" w:color="auto"/>
              <w:right w:val="single" w:sz="4" w:space="0" w:color="auto"/>
            </w:tcBorders>
            <w:shd w:val="clear" w:color="000000" w:fill="FFFFFF"/>
            <w:vAlign w:val="center"/>
            <w:hideMark/>
          </w:tcPr>
          <w:p w:rsidR="004C6AE3" w:rsidRPr="004C6AE3" w:rsidRDefault="004C6AE3" w:rsidP="00877810">
            <w:pPr>
              <w:spacing w:after="0" w:line="240" w:lineRule="auto"/>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Органы управления</w:t>
            </w:r>
          </w:p>
        </w:tc>
        <w:tc>
          <w:tcPr>
            <w:tcW w:w="1568" w:type="dxa"/>
            <w:tcBorders>
              <w:top w:val="single" w:sz="8" w:space="0" w:color="auto"/>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8 844</w:t>
            </w:r>
          </w:p>
        </w:tc>
        <w:tc>
          <w:tcPr>
            <w:tcW w:w="1275" w:type="dxa"/>
            <w:tcBorders>
              <w:top w:val="single" w:sz="8" w:space="0" w:color="auto"/>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2 244 131</w:t>
            </w:r>
          </w:p>
        </w:tc>
        <w:tc>
          <w:tcPr>
            <w:tcW w:w="1134" w:type="dxa"/>
            <w:tcBorders>
              <w:top w:val="single" w:sz="8" w:space="0" w:color="auto"/>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21 145,5</w:t>
            </w:r>
          </w:p>
        </w:tc>
        <w:tc>
          <w:tcPr>
            <w:tcW w:w="1417"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9 218</w:t>
            </w:r>
          </w:p>
        </w:tc>
        <w:tc>
          <w:tcPr>
            <w:tcW w:w="1276"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2 390 162</w:t>
            </w:r>
          </w:p>
        </w:tc>
        <w:tc>
          <w:tcPr>
            <w:tcW w:w="1135" w:type="dxa"/>
            <w:tcBorders>
              <w:top w:val="single" w:sz="8" w:space="0" w:color="auto"/>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21 607,7</w:t>
            </w:r>
          </w:p>
        </w:tc>
        <w:tc>
          <w:tcPr>
            <w:tcW w:w="771" w:type="dxa"/>
            <w:tcBorders>
              <w:top w:val="single" w:sz="8" w:space="0" w:color="auto"/>
              <w:left w:val="nil"/>
              <w:bottom w:val="single" w:sz="4" w:space="0" w:color="auto"/>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102,2%</w:t>
            </w:r>
          </w:p>
        </w:tc>
        <w:tc>
          <w:tcPr>
            <w:tcW w:w="1397" w:type="dxa"/>
            <w:tcBorders>
              <w:top w:val="nil"/>
              <w:left w:val="single" w:sz="8" w:space="0" w:color="auto"/>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9 172</w:t>
            </w:r>
          </w:p>
        </w:tc>
        <w:tc>
          <w:tcPr>
            <w:tcW w:w="1276"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2 542 665</w:t>
            </w:r>
          </w:p>
        </w:tc>
        <w:tc>
          <w:tcPr>
            <w:tcW w:w="1148"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23 249,2</w:t>
            </w:r>
          </w:p>
        </w:tc>
        <w:tc>
          <w:tcPr>
            <w:tcW w:w="833" w:type="dxa"/>
            <w:tcBorders>
              <w:top w:val="nil"/>
              <w:left w:val="nil"/>
              <w:bottom w:val="single" w:sz="4" w:space="0" w:color="auto"/>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107,6%</w:t>
            </w:r>
          </w:p>
        </w:tc>
      </w:tr>
      <w:tr w:rsidR="00170A64" w:rsidRPr="00170A64" w:rsidTr="00877810">
        <w:trPr>
          <w:trHeight w:val="1080"/>
        </w:trPr>
        <w:tc>
          <w:tcPr>
            <w:tcW w:w="1985" w:type="dxa"/>
            <w:tcBorders>
              <w:top w:val="nil"/>
              <w:left w:val="single" w:sz="4" w:space="0" w:color="auto"/>
              <w:bottom w:val="single" w:sz="4" w:space="0" w:color="auto"/>
              <w:right w:val="single" w:sz="4" w:space="0" w:color="auto"/>
            </w:tcBorders>
            <w:shd w:val="clear" w:color="000000" w:fill="FFFFFF"/>
            <w:vAlign w:val="center"/>
            <w:hideMark/>
          </w:tcPr>
          <w:p w:rsidR="004C6AE3" w:rsidRPr="004C6AE3" w:rsidRDefault="004C6AE3" w:rsidP="00877810">
            <w:pPr>
              <w:spacing w:after="0" w:line="240" w:lineRule="auto"/>
              <w:rPr>
                <w:rFonts w:ascii="Times New Roman" w:eastAsia="Times New Roman" w:hAnsi="Times New Roman" w:cs="Times New Roman"/>
                <w:color w:val="000000"/>
                <w:sz w:val="20"/>
                <w:szCs w:val="20"/>
                <w:lang w:eastAsia="ru-RU"/>
              </w:rPr>
            </w:pPr>
            <w:r w:rsidRPr="004C6AE3">
              <w:rPr>
                <w:rFonts w:ascii="Times New Roman" w:eastAsia="Times New Roman" w:hAnsi="Times New Roman" w:cs="Times New Roman"/>
                <w:color w:val="000000"/>
                <w:sz w:val="20"/>
                <w:szCs w:val="20"/>
                <w:lang w:eastAsia="ru-RU"/>
              </w:rPr>
              <w:t>Национальная безопасность и правоохранительная деятельность</w:t>
            </w:r>
          </w:p>
        </w:tc>
        <w:tc>
          <w:tcPr>
            <w:tcW w:w="1568"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7 813</w:t>
            </w:r>
          </w:p>
        </w:tc>
        <w:tc>
          <w:tcPr>
            <w:tcW w:w="127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1 599 087</w:t>
            </w:r>
          </w:p>
        </w:tc>
        <w:tc>
          <w:tcPr>
            <w:tcW w:w="1134"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17 055,8</w:t>
            </w:r>
          </w:p>
        </w:tc>
        <w:tc>
          <w:tcPr>
            <w:tcW w:w="1417"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7 815</w:t>
            </w:r>
          </w:p>
        </w:tc>
        <w:tc>
          <w:tcPr>
            <w:tcW w:w="1276"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1 717 243</w:t>
            </w:r>
          </w:p>
        </w:tc>
        <w:tc>
          <w:tcPr>
            <w:tcW w:w="113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18 311,4</w:t>
            </w:r>
          </w:p>
        </w:tc>
        <w:tc>
          <w:tcPr>
            <w:tcW w:w="771" w:type="dxa"/>
            <w:tcBorders>
              <w:top w:val="nil"/>
              <w:left w:val="nil"/>
              <w:bottom w:val="single" w:sz="4" w:space="0" w:color="auto"/>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107,4%</w:t>
            </w:r>
          </w:p>
        </w:tc>
        <w:tc>
          <w:tcPr>
            <w:tcW w:w="1397" w:type="dxa"/>
            <w:tcBorders>
              <w:top w:val="nil"/>
              <w:left w:val="single" w:sz="8" w:space="0" w:color="auto"/>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433</w:t>
            </w:r>
          </w:p>
        </w:tc>
        <w:tc>
          <w:tcPr>
            <w:tcW w:w="1276"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69 706</w:t>
            </w:r>
          </w:p>
        </w:tc>
        <w:tc>
          <w:tcPr>
            <w:tcW w:w="1148"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13 415,3</w:t>
            </w:r>
          </w:p>
        </w:tc>
        <w:tc>
          <w:tcPr>
            <w:tcW w:w="833" w:type="dxa"/>
            <w:tcBorders>
              <w:top w:val="nil"/>
              <w:left w:val="nil"/>
              <w:bottom w:val="single" w:sz="4" w:space="0" w:color="auto"/>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73,3%</w:t>
            </w:r>
          </w:p>
        </w:tc>
      </w:tr>
      <w:tr w:rsidR="00170A64" w:rsidRPr="00170A64" w:rsidTr="00877810">
        <w:trPr>
          <w:trHeight w:val="792"/>
        </w:trPr>
        <w:tc>
          <w:tcPr>
            <w:tcW w:w="1985" w:type="dxa"/>
            <w:tcBorders>
              <w:top w:val="nil"/>
              <w:left w:val="single" w:sz="4" w:space="0" w:color="auto"/>
              <w:bottom w:val="single" w:sz="4" w:space="0" w:color="auto"/>
              <w:right w:val="single" w:sz="4" w:space="0" w:color="auto"/>
            </w:tcBorders>
            <w:shd w:val="clear" w:color="000000" w:fill="FFFFFF"/>
            <w:vAlign w:val="center"/>
            <w:hideMark/>
          </w:tcPr>
          <w:p w:rsidR="004C6AE3" w:rsidRPr="004C6AE3" w:rsidRDefault="004C6AE3" w:rsidP="00877810">
            <w:pPr>
              <w:spacing w:after="0" w:line="240" w:lineRule="auto"/>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Образование</w:t>
            </w:r>
          </w:p>
        </w:tc>
        <w:tc>
          <w:tcPr>
            <w:tcW w:w="1568"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51 922</w:t>
            </w:r>
          </w:p>
        </w:tc>
        <w:tc>
          <w:tcPr>
            <w:tcW w:w="127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4 359 868</w:t>
            </w:r>
          </w:p>
        </w:tc>
        <w:tc>
          <w:tcPr>
            <w:tcW w:w="1134"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6 997,5</w:t>
            </w:r>
          </w:p>
        </w:tc>
        <w:tc>
          <w:tcPr>
            <w:tcW w:w="1417"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55 113</w:t>
            </w:r>
          </w:p>
        </w:tc>
        <w:tc>
          <w:tcPr>
            <w:tcW w:w="1276"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5 071 876</w:t>
            </w:r>
          </w:p>
        </w:tc>
        <w:tc>
          <w:tcPr>
            <w:tcW w:w="113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7 668,9</w:t>
            </w:r>
          </w:p>
        </w:tc>
        <w:tc>
          <w:tcPr>
            <w:tcW w:w="771" w:type="dxa"/>
            <w:tcBorders>
              <w:top w:val="nil"/>
              <w:left w:val="nil"/>
              <w:bottom w:val="single" w:sz="4" w:space="0" w:color="auto"/>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109,6%</w:t>
            </w:r>
          </w:p>
        </w:tc>
        <w:tc>
          <w:tcPr>
            <w:tcW w:w="1397" w:type="dxa"/>
            <w:tcBorders>
              <w:top w:val="nil"/>
              <w:left w:val="single" w:sz="8" w:space="0" w:color="auto"/>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60 676</w:t>
            </w:r>
          </w:p>
        </w:tc>
        <w:tc>
          <w:tcPr>
            <w:tcW w:w="1276"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6 931 481</w:t>
            </w:r>
          </w:p>
        </w:tc>
        <w:tc>
          <w:tcPr>
            <w:tcW w:w="1148"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9 519,8</w:t>
            </w:r>
          </w:p>
        </w:tc>
        <w:tc>
          <w:tcPr>
            <w:tcW w:w="833" w:type="dxa"/>
            <w:tcBorders>
              <w:top w:val="nil"/>
              <w:left w:val="nil"/>
              <w:bottom w:val="single" w:sz="4" w:space="0" w:color="auto"/>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124,1%</w:t>
            </w:r>
          </w:p>
        </w:tc>
      </w:tr>
      <w:tr w:rsidR="00170A64" w:rsidRPr="00170A64" w:rsidTr="00877810">
        <w:trPr>
          <w:trHeight w:val="1065"/>
        </w:trPr>
        <w:tc>
          <w:tcPr>
            <w:tcW w:w="1985" w:type="dxa"/>
            <w:tcBorders>
              <w:top w:val="nil"/>
              <w:left w:val="single" w:sz="4" w:space="0" w:color="auto"/>
              <w:bottom w:val="single" w:sz="4" w:space="0" w:color="auto"/>
              <w:right w:val="single" w:sz="4" w:space="0" w:color="auto"/>
            </w:tcBorders>
            <w:shd w:val="clear" w:color="000000" w:fill="FFFFFF"/>
            <w:vAlign w:val="center"/>
            <w:hideMark/>
          </w:tcPr>
          <w:p w:rsidR="004C6AE3" w:rsidRPr="004C6AE3" w:rsidRDefault="004C6AE3" w:rsidP="00877810">
            <w:pPr>
              <w:spacing w:after="0" w:line="240" w:lineRule="auto"/>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Культура, кинематография и средства массовой информации</w:t>
            </w:r>
          </w:p>
        </w:tc>
        <w:tc>
          <w:tcPr>
            <w:tcW w:w="1568"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4 719</w:t>
            </w:r>
          </w:p>
        </w:tc>
        <w:tc>
          <w:tcPr>
            <w:tcW w:w="127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345 914</w:t>
            </w:r>
          </w:p>
        </w:tc>
        <w:tc>
          <w:tcPr>
            <w:tcW w:w="1134"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6 108,5</w:t>
            </w:r>
          </w:p>
        </w:tc>
        <w:tc>
          <w:tcPr>
            <w:tcW w:w="1417"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4 999</w:t>
            </w:r>
          </w:p>
        </w:tc>
        <w:tc>
          <w:tcPr>
            <w:tcW w:w="1276"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382 414</w:t>
            </w:r>
          </w:p>
        </w:tc>
        <w:tc>
          <w:tcPr>
            <w:tcW w:w="113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6 374,8</w:t>
            </w:r>
          </w:p>
        </w:tc>
        <w:tc>
          <w:tcPr>
            <w:tcW w:w="771" w:type="dxa"/>
            <w:tcBorders>
              <w:top w:val="nil"/>
              <w:left w:val="nil"/>
              <w:bottom w:val="single" w:sz="4" w:space="0" w:color="auto"/>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104,4%</w:t>
            </w:r>
          </w:p>
        </w:tc>
        <w:tc>
          <w:tcPr>
            <w:tcW w:w="1397" w:type="dxa"/>
            <w:tcBorders>
              <w:top w:val="nil"/>
              <w:left w:val="single" w:sz="8" w:space="0" w:color="auto"/>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5 355</w:t>
            </w:r>
          </w:p>
        </w:tc>
        <w:tc>
          <w:tcPr>
            <w:tcW w:w="1276"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531 856</w:t>
            </w:r>
          </w:p>
        </w:tc>
        <w:tc>
          <w:tcPr>
            <w:tcW w:w="1148"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6 716,8</w:t>
            </w:r>
          </w:p>
        </w:tc>
        <w:tc>
          <w:tcPr>
            <w:tcW w:w="833" w:type="dxa"/>
            <w:tcBorders>
              <w:top w:val="nil"/>
              <w:left w:val="nil"/>
              <w:bottom w:val="single" w:sz="4" w:space="0" w:color="auto"/>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105,4%</w:t>
            </w:r>
          </w:p>
        </w:tc>
      </w:tr>
      <w:tr w:rsidR="00170A64" w:rsidRPr="00170A64" w:rsidTr="00877810">
        <w:trPr>
          <w:trHeight w:val="760"/>
        </w:trPr>
        <w:tc>
          <w:tcPr>
            <w:tcW w:w="1985" w:type="dxa"/>
            <w:tcBorders>
              <w:top w:val="nil"/>
              <w:left w:val="single" w:sz="4" w:space="0" w:color="auto"/>
              <w:bottom w:val="single" w:sz="4" w:space="0" w:color="auto"/>
              <w:right w:val="single" w:sz="4" w:space="0" w:color="auto"/>
            </w:tcBorders>
            <w:shd w:val="clear" w:color="000000" w:fill="FFFFFF"/>
            <w:vAlign w:val="center"/>
            <w:hideMark/>
          </w:tcPr>
          <w:p w:rsidR="004C6AE3" w:rsidRPr="004C6AE3" w:rsidRDefault="004C6AE3" w:rsidP="00877810">
            <w:pPr>
              <w:spacing w:after="0" w:line="240" w:lineRule="auto"/>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Здравоохранение и спорт</w:t>
            </w:r>
          </w:p>
        </w:tc>
        <w:tc>
          <w:tcPr>
            <w:tcW w:w="1568"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27 683</w:t>
            </w:r>
          </w:p>
        </w:tc>
        <w:tc>
          <w:tcPr>
            <w:tcW w:w="127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638 562</w:t>
            </w:r>
          </w:p>
        </w:tc>
        <w:tc>
          <w:tcPr>
            <w:tcW w:w="1134"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1 922,2</w:t>
            </w:r>
          </w:p>
        </w:tc>
        <w:tc>
          <w:tcPr>
            <w:tcW w:w="1417" w:type="dxa"/>
            <w:tcBorders>
              <w:top w:val="nil"/>
              <w:left w:val="single" w:sz="8" w:space="0" w:color="auto"/>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30 709</w:t>
            </w:r>
          </w:p>
        </w:tc>
        <w:tc>
          <w:tcPr>
            <w:tcW w:w="1276"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704 607</w:t>
            </w:r>
          </w:p>
        </w:tc>
        <w:tc>
          <w:tcPr>
            <w:tcW w:w="1135" w:type="dxa"/>
            <w:tcBorders>
              <w:top w:val="nil"/>
              <w:left w:val="nil"/>
              <w:bottom w:val="single" w:sz="4"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1 912,1</w:t>
            </w:r>
          </w:p>
        </w:tc>
        <w:tc>
          <w:tcPr>
            <w:tcW w:w="771" w:type="dxa"/>
            <w:tcBorders>
              <w:top w:val="nil"/>
              <w:left w:val="nil"/>
              <w:bottom w:val="single" w:sz="4" w:space="0" w:color="auto"/>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99,5%</w:t>
            </w:r>
          </w:p>
        </w:tc>
        <w:tc>
          <w:tcPr>
            <w:tcW w:w="1397" w:type="dxa"/>
            <w:tcBorders>
              <w:top w:val="nil"/>
              <w:left w:val="single" w:sz="8" w:space="0" w:color="auto"/>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34 289</w:t>
            </w:r>
          </w:p>
        </w:tc>
        <w:tc>
          <w:tcPr>
            <w:tcW w:w="1276"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946 569</w:t>
            </w:r>
          </w:p>
        </w:tc>
        <w:tc>
          <w:tcPr>
            <w:tcW w:w="1148" w:type="dxa"/>
            <w:tcBorders>
              <w:top w:val="nil"/>
              <w:left w:val="nil"/>
              <w:bottom w:val="single" w:sz="4"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2 300,5</w:t>
            </w:r>
          </w:p>
        </w:tc>
        <w:tc>
          <w:tcPr>
            <w:tcW w:w="833" w:type="dxa"/>
            <w:tcBorders>
              <w:top w:val="nil"/>
              <w:left w:val="nil"/>
              <w:bottom w:val="single" w:sz="4" w:space="0" w:color="auto"/>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120,3%</w:t>
            </w:r>
          </w:p>
        </w:tc>
      </w:tr>
      <w:tr w:rsidR="00170A64" w:rsidRPr="00170A64" w:rsidTr="00877810">
        <w:trPr>
          <w:trHeight w:val="843"/>
        </w:trPr>
        <w:tc>
          <w:tcPr>
            <w:tcW w:w="1985" w:type="dxa"/>
            <w:tcBorders>
              <w:top w:val="nil"/>
              <w:left w:val="single" w:sz="4" w:space="0" w:color="auto"/>
              <w:bottom w:val="nil"/>
              <w:right w:val="single" w:sz="4" w:space="0" w:color="auto"/>
            </w:tcBorders>
            <w:shd w:val="clear" w:color="000000" w:fill="FFFFFF"/>
            <w:vAlign w:val="center"/>
            <w:hideMark/>
          </w:tcPr>
          <w:p w:rsidR="004C6AE3" w:rsidRPr="004C6AE3" w:rsidRDefault="004C6AE3" w:rsidP="00877810">
            <w:pPr>
              <w:spacing w:after="0" w:line="240" w:lineRule="auto"/>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Социальная политика</w:t>
            </w:r>
          </w:p>
        </w:tc>
        <w:tc>
          <w:tcPr>
            <w:tcW w:w="1568" w:type="dxa"/>
            <w:tcBorders>
              <w:top w:val="nil"/>
              <w:left w:val="single" w:sz="8" w:space="0" w:color="auto"/>
              <w:bottom w:val="nil"/>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6 042</w:t>
            </w:r>
          </w:p>
        </w:tc>
        <w:tc>
          <w:tcPr>
            <w:tcW w:w="1275" w:type="dxa"/>
            <w:tcBorders>
              <w:top w:val="nil"/>
              <w:left w:val="nil"/>
              <w:bottom w:val="nil"/>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317 022</w:t>
            </w:r>
          </w:p>
        </w:tc>
        <w:tc>
          <w:tcPr>
            <w:tcW w:w="1134" w:type="dxa"/>
            <w:tcBorders>
              <w:top w:val="nil"/>
              <w:left w:val="nil"/>
              <w:bottom w:val="nil"/>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4 372,5</w:t>
            </w:r>
          </w:p>
        </w:tc>
        <w:tc>
          <w:tcPr>
            <w:tcW w:w="1417" w:type="dxa"/>
            <w:tcBorders>
              <w:top w:val="nil"/>
              <w:left w:val="single" w:sz="8" w:space="0" w:color="auto"/>
              <w:bottom w:val="nil"/>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5 959</w:t>
            </w:r>
          </w:p>
        </w:tc>
        <w:tc>
          <w:tcPr>
            <w:tcW w:w="1276" w:type="dxa"/>
            <w:tcBorders>
              <w:top w:val="nil"/>
              <w:left w:val="nil"/>
              <w:bottom w:val="nil"/>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355 417</w:t>
            </w:r>
          </w:p>
        </w:tc>
        <w:tc>
          <w:tcPr>
            <w:tcW w:w="1135" w:type="dxa"/>
            <w:tcBorders>
              <w:top w:val="nil"/>
              <w:left w:val="nil"/>
              <w:bottom w:val="nil"/>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4 970,3</w:t>
            </w:r>
          </w:p>
        </w:tc>
        <w:tc>
          <w:tcPr>
            <w:tcW w:w="771" w:type="dxa"/>
            <w:tcBorders>
              <w:top w:val="nil"/>
              <w:left w:val="nil"/>
              <w:bottom w:val="nil"/>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113,7%</w:t>
            </w:r>
          </w:p>
        </w:tc>
        <w:tc>
          <w:tcPr>
            <w:tcW w:w="1397" w:type="dxa"/>
            <w:tcBorders>
              <w:top w:val="nil"/>
              <w:left w:val="single" w:sz="8" w:space="0" w:color="auto"/>
              <w:bottom w:val="nil"/>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6 479</w:t>
            </w:r>
          </w:p>
        </w:tc>
        <w:tc>
          <w:tcPr>
            <w:tcW w:w="1276" w:type="dxa"/>
            <w:tcBorders>
              <w:top w:val="nil"/>
              <w:left w:val="nil"/>
              <w:bottom w:val="nil"/>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426 285</w:t>
            </w:r>
          </w:p>
        </w:tc>
        <w:tc>
          <w:tcPr>
            <w:tcW w:w="1148" w:type="dxa"/>
            <w:tcBorders>
              <w:top w:val="nil"/>
              <w:left w:val="nil"/>
              <w:bottom w:val="nil"/>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5 482,9</w:t>
            </w:r>
          </w:p>
        </w:tc>
        <w:tc>
          <w:tcPr>
            <w:tcW w:w="833" w:type="dxa"/>
            <w:tcBorders>
              <w:top w:val="nil"/>
              <w:left w:val="nil"/>
              <w:bottom w:val="nil"/>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110,3%</w:t>
            </w:r>
          </w:p>
        </w:tc>
      </w:tr>
      <w:tr w:rsidR="00170A64" w:rsidRPr="00170A64" w:rsidTr="00877810">
        <w:trPr>
          <w:trHeight w:val="838"/>
        </w:trPr>
        <w:tc>
          <w:tcPr>
            <w:tcW w:w="1985" w:type="dxa"/>
            <w:tcBorders>
              <w:top w:val="single" w:sz="8" w:space="0" w:color="auto"/>
              <w:left w:val="single" w:sz="8" w:space="0" w:color="auto"/>
              <w:bottom w:val="single" w:sz="8" w:space="0" w:color="auto"/>
              <w:right w:val="nil"/>
            </w:tcBorders>
            <w:shd w:val="clear" w:color="000000" w:fill="FFFFFF"/>
            <w:noWrap/>
            <w:vAlign w:val="center"/>
            <w:hideMark/>
          </w:tcPr>
          <w:p w:rsidR="004C6AE3" w:rsidRPr="004C6AE3" w:rsidRDefault="004C6AE3" w:rsidP="00877810">
            <w:pPr>
              <w:spacing w:after="0" w:line="240" w:lineRule="auto"/>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Бюджетный сектор</w:t>
            </w:r>
          </w:p>
        </w:tc>
        <w:tc>
          <w:tcPr>
            <w:tcW w:w="1568" w:type="dxa"/>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108 976</w:t>
            </w:r>
          </w:p>
        </w:tc>
        <w:tc>
          <w:tcPr>
            <w:tcW w:w="1275" w:type="dxa"/>
            <w:tcBorders>
              <w:top w:val="single" w:sz="8" w:space="0" w:color="auto"/>
              <w:left w:val="nil"/>
              <w:bottom w:val="single" w:sz="8"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9 757 723</w:t>
            </w:r>
          </w:p>
        </w:tc>
        <w:tc>
          <w:tcPr>
            <w:tcW w:w="1134" w:type="dxa"/>
            <w:tcBorders>
              <w:top w:val="single" w:sz="8" w:space="0" w:color="auto"/>
              <w:left w:val="nil"/>
              <w:bottom w:val="single" w:sz="8"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7 461,7</w:t>
            </w:r>
          </w:p>
        </w:tc>
        <w:tc>
          <w:tcPr>
            <w:tcW w:w="1417" w:type="dxa"/>
            <w:tcBorders>
              <w:top w:val="single" w:sz="8" w:space="0" w:color="auto"/>
              <w:left w:val="single" w:sz="8" w:space="0" w:color="auto"/>
              <w:bottom w:val="single" w:sz="8"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115 924</w:t>
            </w:r>
          </w:p>
        </w:tc>
        <w:tc>
          <w:tcPr>
            <w:tcW w:w="1276" w:type="dxa"/>
            <w:tcBorders>
              <w:top w:val="single" w:sz="8" w:space="0" w:color="auto"/>
              <w:left w:val="nil"/>
              <w:bottom w:val="single" w:sz="8"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10 928 900</w:t>
            </w:r>
          </w:p>
        </w:tc>
        <w:tc>
          <w:tcPr>
            <w:tcW w:w="1135" w:type="dxa"/>
            <w:tcBorders>
              <w:top w:val="single" w:sz="8" w:space="0" w:color="auto"/>
              <w:left w:val="nil"/>
              <w:bottom w:val="single" w:sz="8" w:space="0" w:color="auto"/>
              <w:right w:val="single" w:sz="4" w:space="0" w:color="auto"/>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7 856,4</w:t>
            </w:r>
          </w:p>
        </w:tc>
        <w:tc>
          <w:tcPr>
            <w:tcW w:w="771" w:type="dxa"/>
            <w:tcBorders>
              <w:top w:val="single" w:sz="8" w:space="0" w:color="auto"/>
              <w:left w:val="nil"/>
              <w:bottom w:val="single" w:sz="8" w:space="0" w:color="auto"/>
              <w:right w:val="nil"/>
            </w:tcBorders>
            <w:shd w:val="clear" w:color="000000" w:fill="FFFFFF"/>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18"/>
                <w:szCs w:val="18"/>
                <w:lang w:eastAsia="ru-RU"/>
              </w:rPr>
            </w:pPr>
            <w:r w:rsidRPr="004C6AE3">
              <w:rPr>
                <w:rFonts w:ascii="Times New Roman" w:eastAsia="Times New Roman" w:hAnsi="Times New Roman" w:cs="Times New Roman"/>
                <w:sz w:val="18"/>
                <w:szCs w:val="18"/>
                <w:lang w:eastAsia="ru-RU"/>
              </w:rPr>
              <w:t>105,3%</w:t>
            </w:r>
          </w:p>
        </w:tc>
        <w:tc>
          <w:tcPr>
            <w:tcW w:w="139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118 654</w:t>
            </w:r>
          </w:p>
        </w:tc>
        <w:tc>
          <w:tcPr>
            <w:tcW w:w="1276" w:type="dxa"/>
            <w:tcBorders>
              <w:top w:val="single" w:sz="8" w:space="0" w:color="auto"/>
              <w:left w:val="nil"/>
              <w:bottom w:val="single" w:sz="8"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11 748 218</w:t>
            </w:r>
          </w:p>
        </w:tc>
        <w:tc>
          <w:tcPr>
            <w:tcW w:w="1148" w:type="dxa"/>
            <w:tcBorders>
              <w:top w:val="single" w:sz="8" w:space="0" w:color="auto"/>
              <w:left w:val="nil"/>
              <w:bottom w:val="single" w:sz="8" w:space="0" w:color="auto"/>
              <w:right w:val="single" w:sz="4"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8 251,0</w:t>
            </w:r>
          </w:p>
        </w:tc>
        <w:tc>
          <w:tcPr>
            <w:tcW w:w="833" w:type="dxa"/>
            <w:tcBorders>
              <w:top w:val="single" w:sz="8" w:space="0" w:color="auto"/>
              <w:left w:val="nil"/>
              <w:bottom w:val="single" w:sz="8" w:space="0" w:color="auto"/>
              <w:right w:val="single" w:sz="8" w:space="0" w:color="auto"/>
            </w:tcBorders>
            <w:shd w:val="clear" w:color="auto" w:fill="auto"/>
            <w:noWrap/>
            <w:vAlign w:val="center"/>
            <w:hideMark/>
          </w:tcPr>
          <w:p w:rsidR="004C6AE3" w:rsidRPr="004C6AE3" w:rsidRDefault="004C6AE3" w:rsidP="004C6AE3">
            <w:pPr>
              <w:spacing w:after="0" w:line="240" w:lineRule="auto"/>
              <w:jc w:val="center"/>
              <w:rPr>
                <w:rFonts w:ascii="Times New Roman" w:eastAsia="Times New Roman" w:hAnsi="Times New Roman" w:cs="Times New Roman"/>
                <w:sz w:val="20"/>
                <w:szCs w:val="20"/>
                <w:lang w:eastAsia="ru-RU"/>
              </w:rPr>
            </w:pPr>
            <w:r w:rsidRPr="004C6AE3">
              <w:rPr>
                <w:rFonts w:ascii="Times New Roman" w:eastAsia="Times New Roman" w:hAnsi="Times New Roman" w:cs="Times New Roman"/>
                <w:sz w:val="20"/>
                <w:szCs w:val="20"/>
                <w:lang w:eastAsia="ru-RU"/>
              </w:rPr>
              <w:t>105,0%</w:t>
            </w:r>
          </w:p>
        </w:tc>
      </w:tr>
    </w:tbl>
    <w:p w:rsidR="00AE2EA5" w:rsidRDefault="00AE2EA5" w:rsidP="00A05F1A">
      <w:pPr>
        <w:spacing w:after="0" w:line="360" w:lineRule="auto"/>
        <w:ind w:left="-567"/>
        <w:jc w:val="both"/>
        <w:rPr>
          <w:rFonts w:ascii="Times New Roman" w:hAnsi="Times New Roman" w:cs="Times New Roman"/>
          <w:b/>
          <w:sz w:val="24"/>
          <w:szCs w:val="24"/>
        </w:rPr>
      </w:pPr>
    </w:p>
    <w:p w:rsidR="006728A8" w:rsidRDefault="00170A64">
      <w:pPr>
        <w:rPr>
          <w:rFonts w:ascii="Times New Roman" w:hAnsi="Times New Roman" w:cs="Times New Roman"/>
          <w:b/>
          <w:sz w:val="24"/>
          <w:szCs w:val="24"/>
        </w:rPr>
        <w:sectPr w:rsidR="006728A8" w:rsidSect="006728A8">
          <w:pgSz w:w="16838" w:h="11906" w:orient="landscape"/>
          <w:pgMar w:top="851" w:right="1134" w:bottom="1701" w:left="1134" w:header="709" w:footer="709" w:gutter="0"/>
          <w:cols w:space="708"/>
          <w:docGrid w:linePitch="360"/>
        </w:sectPr>
      </w:pPr>
      <w:r>
        <w:rPr>
          <w:rFonts w:ascii="Times New Roman" w:hAnsi="Times New Roman" w:cs="Times New Roman"/>
          <w:b/>
          <w:sz w:val="24"/>
          <w:szCs w:val="24"/>
        </w:rPr>
        <w:br w:type="page"/>
      </w:r>
    </w:p>
    <w:p w:rsidR="006728A8" w:rsidRDefault="003A71F2"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043B2A48" wp14:editId="03E92B0B">
            <wp:extent cx="6507804" cy="3706239"/>
            <wp:effectExtent l="0" t="0" r="7620" b="889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3A71F2" w:rsidRDefault="003A71F2"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5C73810F" wp14:editId="098B4599">
            <wp:extent cx="6449438" cy="4591455"/>
            <wp:effectExtent l="0" t="0" r="889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3A71F2"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56759C23" wp14:editId="2B940A2D">
            <wp:extent cx="6439710" cy="4270442"/>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3A71F2"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50DFBFE9" wp14:editId="06738B45">
            <wp:extent cx="6381344" cy="4328809"/>
            <wp:effectExtent l="38100" t="38100" r="38735" b="52705"/>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bl>
      <w:tblPr>
        <w:tblW w:w="10348" w:type="dxa"/>
        <w:tblInd w:w="-459" w:type="dxa"/>
        <w:tblLayout w:type="fixed"/>
        <w:tblLook w:val="04A0" w:firstRow="1" w:lastRow="0" w:firstColumn="1" w:lastColumn="0" w:noHBand="0" w:noVBand="1"/>
      </w:tblPr>
      <w:tblGrid>
        <w:gridCol w:w="503"/>
        <w:gridCol w:w="4380"/>
        <w:gridCol w:w="1416"/>
        <w:gridCol w:w="1416"/>
        <w:gridCol w:w="1499"/>
        <w:gridCol w:w="1134"/>
      </w:tblGrid>
      <w:tr w:rsidR="006728A8" w:rsidRPr="002C53F1" w:rsidTr="00C412D2">
        <w:trPr>
          <w:trHeight w:val="375"/>
        </w:trPr>
        <w:tc>
          <w:tcPr>
            <w:tcW w:w="10348" w:type="dxa"/>
            <w:gridSpan w:val="6"/>
            <w:tcBorders>
              <w:top w:val="nil"/>
              <w:left w:val="nil"/>
              <w:bottom w:val="nil"/>
              <w:right w:val="nil"/>
            </w:tcBorders>
            <w:shd w:val="clear" w:color="auto" w:fill="auto"/>
            <w:noWrap/>
            <w:vAlign w:val="bottom"/>
            <w:hideMark/>
          </w:tcPr>
          <w:p w:rsidR="006728A8" w:rsidRPr="002C53F1" w:rsidRDefault="006728A8" w:rsidP="00C412D2">
            <w:pPr>
              <w:spacing w:after="0" w:line="240" w:lineRule="auto"/>
              <w:jc w:val="center"/>
              <w:rPr>
                <w:rFonts w:ascii="Times New Roman" w:eastAsia="Times New Roman" w:hAnsi="Times New Roman" w:cs="Times New Roman"/>
                <w:b/>
                <w:bCs/>
                <w:sz w:val="24"/>
                <w:szCs w:val="24"/>
                <w:lang w:eastAsia="ru-RU"/>
              </w:rPr>
            </w:pPr>
            <w:r w:rsidRPr="002C53F1">
              <w:rPr>
                <w:rFonts w:ascii="Times New Roman" w:eastAsia="Times New Roman" w:hAnsi="Times New Roman" w:cs="Times New Roman"/>
                <w:b/>
                <w:bCs/>
                <w:sz w:val="24"/>
                <w:szCs w:val="24"/>
                <w:lang w:eastAsia="ru-RU"/>
              </w:rPr>
              <w:lastRenderedPageBreak/>
              <w:t xml:space="preserve">Целевые программы, реализованные на территории </w:t>
            </w:r>
          </w:p>
          <w:p w:rsidR="006728A8" w:rsidRPr="002C53F1" w:rsidRDefault="006728A8" w:rsidP="00C412D2">
            <w:pPr>
              <w:spacing w:after="0" w:line="240" w:lineRule="auto"/>
              <w:jc w:val="center"/>
              <w:rPr>
                <w:rFonts w:ascii="Times New Roman" w:eastAsia="Times New Roman" w:hAnsi="Times New Roman" w:cs="Times New Roman"/>
                <w:b/>
                <w:bCs/>
                <w:sz w:val="28"/>
                <w:szCs w:val="28"/>
                <w:lang w:eastAsia="ru-RU"/>
              </w:rPr>
            </w:pPr>
            <w:r w:rsidRPr="002C53F1">
              <w:rPr>
                <w:rFonts w:ascii="Times New Roman" w:eastAsia="Times New Roman" w:hAnsi="Times New Roman" w:cs="Times New Roman"/>
                <w:b/>
                <w:bCs/>
                <w:sz w:val="24"/>
                <w:szCs w:val="24"/>
                <w:lang w:eastAsia="ru-RU"/>
              </w:rPr>
              <w:t>Чеченской Республики в 2012 году</w:t>
            </w:r>
          </w:p>
        </w:tc>
      </w:tr>
      <w:tr w:rsidR="006728A8" w:rsidRPr="002C53F1" w:rsidTr="00C412D2">
        <w:trPr>
          <w:trHeight w:val="255"/>
        </w:trPr>
        <w:tc>
          <w:tcPr>
            <w:tcW w:w="503" w:type="dxa"/>
            <w:tcBorders>
              <w:top w:val="nil"/>
              <w:left w:val="nil"/>
              <w:bottom w:val="single" w:sz="4" w:space="0" w:color="auto"/>
              <w:right w:val="nil"/>
            </w:tcBorders>
            <w:shd w:val="clear" w:color="auto" w:fill="auto"/>
            <w:noWrap/>
            <w:vAlign w:val="bottom"/>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p>
        </w:tc>
        <w:tc>
          <w:tcPr>
            <w:tcW w:w="4380" w:type="dxa"/>
            <w:tcBorders>
              <w:top w:val="nil"/>
              <w:left w:val="nil"/>
              <w:bottom w:val="single" w:sz="4" w:space="0" w:color="auto"/>
              <w:right w:val="nil"/>
            </w:tcBorders>
            <w:shd w:val="clear" w:color="auto" w:fill="auto"/>
            <w:noWrap/>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p>
        </w:tc>
        <w:tc>
          <w:tcPr>
            <w:tcW w:w="1416" w:type="dxa"/>
            <w:tcBorders>
              <w:top w:val="nil"/>
              <w:left w:val="nil"/>
              <w:bottom w:val="single" w:sz="4" w:space="0" w:color="auto"/>
              <w:right w:val="nil"/>
            </w:tcBorders>
            <w:shd w:val="clear" w:color="auto" w:fill="auto"/>
            <w:noWrap/>
            <w:vAlign w:val="bottom"/>
            <w:hideMark/>
          </w:tcPr>
          <w:p w:rsidR="006728A8" w:rsidRPr="002C53F1" w:rsidRDefault="006728A8" w:rsidP="00C412D2">
            <w:pPr>
              <w:spacing w:after="0" w:line="240" w:lineRule="auto"/>
              <w:jc w:val="right"/>
              <w:rPr>
                <w:rFonts w:ascii="Times New Roman" w:eastAsia="Times New Roman" w:hAnsi="Times New Roman" w:cs="Times New Roman"/>
                <w:sz w:val="20"/>
                <w:szCs w:val="20"/>
                <w:lang w:eastAsia="ru-RU"/>
              </w:rPr>
            </w:pPr>
          </w:p>
        </w:tc>
        <w:tc>
          <w:tcPr>
            <w:tcW w:w="1416" w:type="dxa"/>
            <w:tcBorders>
              <w:top w:val="nil"/>
              <w:left w:val="nil"/>
              <w:bottom w:val="single" w:sz="4" w:space="0" w:color="auto"/>
              <w:right w:val="nil"/>
            </w:tcBorders>
            <w:shd w:val="clear" w:color="auto" w:fill="auto"/>
            <w:noWrap/>
            <w:vAlign w:val="bottom"/>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p>
        </w:tc>
        <w:tc>
          <w:tcPr>
            <w:tcW w:w="1499" w:type="dxa"/>
            <w:tcBorders>
              <w:top w:val="nil"/>
              <w:left w:val="nil"/>
              <w:bottom w:val="single" w:sz="4" w:space="0" w:color="auto"/>
              <w:right w:val="nil"/>
            </w:tcBorders>
            <w:shd w:val="clear" w:color="auto" w:fill="auto"/>
            <w:noWrap/>
            <w:vAlign w:val="bottom"/>
            <w:hideMark/>
          </w:tcPr>
          <w:p w:rsidR="006728A8" w:rsidRPr="002C53F1" w:rsidRDefault="006728A8" w:rsidP="00C412D2">
            <w:pPr>
              <w:spacing w:after="0" w:line="240" w:lineRule="auto"/>
              <w:jc w:val="right"/>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 xml:space="preserve">ед. изм. </w:t>
            </w:r>
            <w:r>
              <w:rPr>
                <w:rFonts w:ascii="Times New Roman" w:eastAsia="Times New Roman" w:hAnsi="Times New Roman" w:cs="Times New Roman"/>
                <w:b/>
                <w:bCs/>
                <w:sz w:val="20"/>
                <w:szCs w:val="20"/>
                <w:lang w:eastAsia="ru-RU"/>
              </w:rPr>
              <w:t xml:space="preserve">   </w:t>
            </w:r>
            <w:r w:rsidRPr="002C53F1">
              <w:rPr>
                <w:rFonts w:ascii="Times New Roman" w:eastAsia="Times New Roman" w:hAnsi="Times New Roman" w:cs="Times New Roman"/>
                <w:b/>
                <w:bCs/>
                <w:sz w:val="20"/>
                <w:szCs w:val="20"/>
                <w:lang w:eastAsia="ru-RU"/>
              </w:rPr>
              <w:t>тыс.</w:t>
            </w:r>
          </w:p>
        </w:tc>
        <w:tc>
          <w:tcPr>
            <w:tcW w:w="1134" w:type="dxa"/>
            <w:tcBorders>
              <w:top w:val="nil"/>
              <w:left w:val="nil"/>
              <w:bottom w:val="single" w:sz="4" w:space="0" w:color="auto"/>
              <w:right w:val="nil"/>
            </w:tcBorders>
            <w:shd w:val="clear" w:color="auto" w:fill="auto"/>
            <w:noWrap/>
            <w:vAlign w:val="bottom"/>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b/>
                <w:bCs/>
                <w:sz w:val="20"/>
                <w:szCs w:val="20"/>
                <w:lang w:eastAsia="ru-RU"/>
              </w:rPr>
              <w:t>руб</w:t>
            </w:r>
            <w:r>
              <w:rPr>
                <w:rFonts w:ascii="Times New Roman" w:eastAsia="Times New Roman" w:hAnsi="Times New Roman" w:cs="Times New Roman"/>
                <w:b/>
                <w:bCs/>
                <w:sz w:val="20"/>
                <w:szCs w:val="20"/>
                <w:lang w:eastAsia="ru-RU"/>
              </w:rPr>
              <w:t>лей</w:t>
            </w:r>
          </w:p>
        </w:tc>
      </w:tr>
      <w:tr w:rsidR="006728A8" w:rsidRPr="002C53F1" w:rsidTr="00C412D2">
        <w:trPr>
          <w:trHeight w:val="510"/>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 xml:space="preserve">№ </w:t>
            </w:r>
            <w:proofErr w:type="gramStart"/>
            <w:r w:rsidRPr="002C53F1">
              <w:rPr>
                <w:rFonts w:ascii="Times New Roman" w:eastAsia="Times New Roman" w:hAnsi="Times New Roman" w:cs="Times New Roman"/>
                <w:b/>
                <w:bCs/>
                <w:sz w:val="20"/>
                <w:szCs w:val="20"/>
                <w:lang w:eastAsia="ru-RU"/>
              </w:rPr>
              <w:t>п</w:t>
            </w:r>
            <w:proofErr w:type="gramEnd"/>
            <w:r w:rsidRPr="002C53F1">
              <w:rPr>
                <w:rFonts w:ascii="Times New Roman" w:eastAsia="Times New Roman" w:hAnsi="Times New Roman" w:cs="Times New Roman"/>
                <w:b/>
                <w:bCs/>
                <w:sz w:val="20"/>
                <w:szCs w:val="20"/>
                <w:lang w:eastAsia="ru-RU"/>
              </w:rPr>
              <w:t>/п</w:t>
            </w:r>
          </w:p>
        </w:tc>
        <w:tc>
          <w:tcPr>
            <w:tcW w:w="4380"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Наименование</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План</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Факт</w:t>
            </w:r>
          </w:p>
        </w:tc>
        <w:tc>
          <w:tcPr>
            <w:tcW w:w="1499"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Отклонение</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Исп</w:t>
            </w:r>
            <w:r>
              <w:rPr>
                <w:rFonts w:ascii="Times New Roman" w:eastAsia="Times New Roman" w:hAnsi="Times New Roman" w:cs="Times New Roman"/>
                <w:b/>
                <w:bCs/>
                <w:sz w:val="20"/>
                <w:szCs w:val="20"/>
                <w:lang w:eastAsia="ru-RU"/>
              </w:rPr>
              <w:t>.</w:t>
            </w:r>
          </w:p>
        </w:tc>
      </w:tr>
      <w:tr w:rsidR="006728A8" w:rsidRPr="002C53F1" w:rsidTr="00C412D2">
        <w:trPr>
          <w:trHeight w:val="25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 </w:t>
            </w:r>
          </w:p>
        </w:tc>
        <w:tc>
          <w:tcPr>
            <w:tcW w:w="4380"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ВСЕГО:</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17 552 174,5</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17 410 403,2</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141 771,4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99,2%</w:t>
            </w:r>
          </w:p>
        </w:tc>
      </w:tr>
      <w:tr w:rsidR="006728A8" w:rsidRPr="002C53F1" w:rsidTr="00C412D2">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 </w:t>
            </w:r>
          </w:p>
        </w:tc>
        <w:tc>
          <w:tcPr>
            <w:tcW w:w="9845" w:type="dxa"/>
            <w:gridSpan w:val="5"/>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A13D0A">
            <w:pPr>
              <w:spacing w:after="0" w:line="240" w:lineRule="auto"/>
              <w:jc w:val="center"/>
              <w:rPr>
                <w:rFonts w:ascii="Times New Roman" w:eastAsia="Times New Roman" w:hAnsi="Times New Roman" w:cs="Times New Roman"/>
                <w:b/>
                <w:bCs/>
                <w:sz w:val="24"/>
                <w:szCs w:val="24"/>
                <w:lang w:eastAsia="ru-RU"/>
              </w:rPr>
            </w:pPr>
            <w:r w:rsidRPr="002C53F1">
              <w:rPr>
                <w:rFonts w:ascii="Times New Roman" w:eastAsia="Times New Roman" w:hAnsi="Times New Roman" w:cs="Times New Roman"/>
                <w:b/>
                <w:bCs/>
                <w:sz w:val="24"/>
                <w:szCs w:val="24"/>
                <w:lang w:eastAsia="ru-RU"/>
              </w:rPr>
              <w:t>Федеральн</w:t>
            </w:r>
            <w:r w:rsidR="00A13D0A">
              <w:rPr>
                <w:rFonts w:ascii="Times New Roman" w:eastAsia="Times New Roman" w:hAnsi="Times New Roman" w:cs="Times New Roman"/>
                <w:b/>
                <w:bCs/>
                <w:sz w:val="24"/>
                <w:szCs w:val="24"/>
                <w:lang w:eastAsia="ru-RU"/>
              </w:rPr>
              <w:t>ые</w:t>
            </w:r>
            <w:r w:rsidRPr="002C53F1">
              <w:rPr>
                <w:rFonts w:ascii="Times New Roman" w:eastAsia="Times New Roman" w:hAnsi="Times New Roman" w:cs="Times New Roman"/>
                <w:b/>
                <w:bCs/>
                <w:sz w:val="24"/>
                <w:szCs w:val="24"/>
                <w:lang w:eastAsia="ru-RU"/>
              </w:rPr>
              <w:t xml:space="preserve"> целев</w:t>
            </w:r>
            <w:r w:rsidR="00A13D0A">
              <w:rPr>
                <w:rFonts w:ascii="Times New Roman" w:eastAsia="Times New Roman" w:hAnsi="Times New Roman" w:cs="Times New Roman"/>
                <w:b/>
                <w:bCs/>
                <w:sz w:val="24"/>
                <w:szCs w:val="24"/>
                <w:lang w:eastAsia="ru-RU"/>
              </w:rPr>
              <w:t>ые</w:t>
            </w:r>
            <w:r w:rsidRPr="002C53F1">
              <w:rPr>
                <w:rFonts w:ascii="Times New Roman" w:eastAsia="Times New Roman" w:hAnsi="Times New Roman" w:cs="Times New Roman"/>
                <w:b/>
                <w:bCs/>
                <w:sz w:val="24"/>
                <w:szCs w:val="24"/>
                <w:lang w:eastAsia="ru-RU"/>
              </w:rPr>
              <w:t xml:space="preserve"> программ</w:t>
            </w:r>
            <w:r w:rsidR="00A13D0A">
              <w:rPr>
                <w:rFonts w:ascii="Times New Roman" w:eastAsia="Times New Roman" w:hAnsi="Times New Roman" w:cs="Times New Roman"/>
                <w:b/>
                <w:bCs/>
                <w:sz w:val="24"/>
                <w:szCs w:val="24"/>
                <w:lang w:eastAsia="ru-RU"/>
              </w:rPr>
              <w:t>ы</w:t>
            </w:r>
          </w:p>
        </w:tc>
      </w:tr>
      <w:tr w:rsidR="006728A8" w:rsidRPr="002C53F1" w:rsidTr="00C412D2">
        <w:trPr>
          <w:trHeight w:val="127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 xml:space="preserve">Федеральная целевая программа "Сохранение и восстановление плодородия почв земель сельскохозяйственного назначения и </w:t>
            </w:r>
            <w:proofErr w:type="spellStart"/>
            <w:r w:rsidRPr="002C53F1">
              <w:rPr>
                <w:rFonts w:ascii="Times New Roman" w:eastAsia="Times New Roman" w:hAnsi="Times New Roman" w:cs="Times New Roman"/>
                <w:sz w:val="20"/>
                <w:szCs w:val="20"/>
                <w:lang w:eastAsia="ru-RU"/>
              </w:rPr>
              <w:t>агроландшафтов</w:t>
            </w:r>
            <w:proofErr w:type="spellEnd"/>
            <w:r w:rsidRPr="002C53F1">
              <w:rPr>
                <w:rFonts w:ascii="Times New Roman" w:eastAsia="Times New Roman" w:hAnsi="Times New Roman" w:cs="Times New Roman"/>
                <w:sz w:val="20"/>
                <w:szCs w:val="20"/>
                <w:lang w:eastAsia="ru-RU"/>
              </w:rPr>
              <w:t xml:space="preserve"> как национального достояния России на 2009- 2012 годы и на период до 2013года"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10 097,0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10 097,0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Федеральная целевая программа  "Развитие водохозяйственного комплекса Российской Федерации в 2012 - 2020 годах" за счет средств федерального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30 434,8</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30 434,8</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510"/>
        </w:trPr>
        <w:tc>
          <w:tcPr>
            <w:tcW w:w="50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w:t>
            </w:r>
          </w:p>
        </w:tc>
        <w:tc>
          <w:tcPr>
            <w:tcW w:w="4380" w:type="dxa"/>
            <w:tcBorders>
              <w:top w:val="single" w:sz="4" w:space="0" w:color="auto"/>
              <w:left w:val="nil"/>
              <w:bottom w:val="single" w:sz="4" w:space="0" w:color="auto"/>
              <w:right w:val="single" w:sz="4" w:space="0" w:color="auto"/>
            </w:tcBorders>
            <w:shd w:val="clear" w:color="000000" w:fill="FFFFFF"/>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Федеральная целевая программа развития образования на 2011-2015годы</w:t>
            </w:r>
          </w:p>
        </w:tc>
        <w:tc>
          <w:tcPr>
            <w:tcW w:w="1416" w:type="dxa"/>
            <w:tcBorders>
              <w:top w:val="single" w:sz="4" w:space="0" w:color="auto"/>
              <w:left w:val="nil"/>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77 068,9</w:t>
            </w:r>
          </w:p>
        </w:tc>
        <w:tc>
          <w:tcPr>
            <w:tcW w:w="1416" w:type="dxa"/>
            <w:tcBorders>
              <w:top w:val="single" w:sz="4" w:space="0" w:color="auto"/>
              <w:left w:val="nil"/>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5 638,9</w:t>
            </w:r>
          </w:p>
        </w:tc>
        <w:tc>
          <w:tcPr>
            <w:tcW w:w="1499" w:type="dxa"/>
            <w:tcBorders>
              <w:top w:val="single" w:sz="4" w:space="0" w:color="auto"/>
              <w:left w:val="nil"/>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71 430,0</w:t>
            </w:r>
          </w:p>
        </w:tc>
        <w:tc>
          <w:tcPr>
            <w:tcW w:w="1134" w:type="dxa"/>
            <w:tcBorders>
              <w:top w:val="single" w:sz="4" w:space="0" w:color="auto"/>
              <w:left w:val="nil"/>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7,3%</w:t>
            </w:r>
          </w:p>
        </w:tc>
      </w:tr>
      <w:tr w:rsidR="006728A8" w:rsidRPr="002C53F1" w:rsidTr="00C412D2">
        <w:trPr>
          <w:trHeight w:val="653"/>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Федеральная целевая программа "Развитие физической культуры и спорта в Российской Федерации на 2006 - 2015 годы" за счет средств регионального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22 500,0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2 500,0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88,9%</w:t>
            </w:r>
          </w:p>
        </w:tc>
      </w:tr>
      <w:tr w:rsidR="006728A8" w:rsidRPr="002C53F1" w:rsidTr="00C412D2">
        <w:trPr>
          <w:trHeight w:val="25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 </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Итого:</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140 100,7</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66 170,7</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73 930,0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47,2%</w:t>
            </w:r>
          </w:p>
        </w:tc>
      </w:tr>
      <w:tr w:rsidR="006728A8" w:rsidRPr="002C53F1" w:rsidTr="00C412D2">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 </w:t>
            </w:r>
          </w:p>
        </w:tc>
        <w:tc>
          <w:tcPr>
            <w:tcW w:w="9845" w:type="dxa"/>
            <w:gridSpan w:val="5"/>
            <w:tcBorders>
              <w:top w:val="single" w:sz="4" w:space="0" w:color="auto"/>
              <w:left w:val="nil"/>
              <w:bottom w:val="single" w:sz="4" w:space="0" w:color="auto"/>
              <w:right w:val="single" w:sz="4" w:space="0" w:color="auto"/>
            </w:tcBorders>
            <w:shd w:val="clear" w:color="auto" w:fill="auto"/>
            <w:noWrap/>
            <w:vAlign w:val="bottom"/>
            <w:hideMark/>
          </w:tcPr>
          <w:p w:rsidR="006728A8" w:rsidRPr="002C53F1" w:rsidRDefault="006728A8" w:rsidP="00A13D0A">
            <w:pPr>
              <w:spacing w:after="0" w:line="240" w:lineRule="auto"/>
              <w:jc w:val="center"/>
              <w:rPr>
                <w:rFonts w:ascii="Times New Roman" w:eastAsia="Times New Roman" w:hAnsi="Times New Roman" w:cs="Times New Roman"/>
                <w:b/>
                <w:bCs/>
                <w:sz w:val="24"/>
                <w:szCs w:val="24"/>
                <w:lang w:eastAsia="ru-RU"/>
              </w:rPr>
            </w:pPr>
            <w:r w:rsidRPr="002C53F1">
              <w:rPr>
                <w:rFonts w:ascii="Times New Roman" w:eastAsia="Times New Roman" w:hAnsi="Times New Roman" w:cs="Times New Roman"/>
                <w:b/>
                <w:bCs/>
                <w:sz w:val="24"/>
                <w:szCs w:val="24"/>
                <w:lang w:eastAsia="ru-RU"/>
              </w:rPr>
              <w:t>Республиканск</w:t>
            </w:r>
            <w:r w:rsidR="00A13D0A">
              <w:rPr>
                <w:rFonts w:ascii="Times New Roman" w:eastAsia="Times New Roman" w:hAnsi="Times New Roman" w:cs="Times New Roman"/>
                <w:b/>
                <w:bCs/>
                <w:sz w:val="24"/>
                <w:szCs w:val="24"/>
                <w:lang w:eastAsia="ru-RU"/>
              </w:rPr>
              <w:t>ие целевые</w:t>
            </w:r>
            <w:r w:rsidRPr="002C53F1">
              <w:rPr>
                <w:rFonts w:ascii="Times New Roman" w:eastAsia="Times New Roman" w:hAnsi="Times New Roman" w:cs="Times New Roman"/>
                <w:b/>
                <w:bCs/>
                <w:sz w:val="24"/>
                <w:szCs w:val="24"/>
                <w:lang w:eastAsia="ru-RU"/>
              </w:rPr>
              <w:t xml:space="preserve"> программ</w:t>
            </w:r>
            <w:r w:rsidR="00A13D0A">
              <w:rPr>
                <w:rFonts w:ascii="Times New Roman" w:eastAsia="Times New Roman" w:hAnsi="Times New Roman" w:cs="Times New Roman"/>
                <w:b/>
                <w:bCs/>
                <w:sz w:val="24"/>
                <w:szCs w:val="24"/>
                <w:lang w:eastAsia="ru-RU"/>
              </w:rPr>
              <w:t>ы</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Республиканская целевая программа "Повышение эффективности бюджетных расходов Чеченской Республики на период до 2012 года"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202 332,0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196 508,5</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5 823,5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97,1%</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Республиканская целевая программа "Профилактика безнадзорности и правонарушений несовершеннолетних на 2009-2012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4 680,0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3 905,8</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774,2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83,5%</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Республиканская целевая программа "Развитие виноградарства Чеченской Республики на 2009-2012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46 400,0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46 400,0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Республиканская целевая программа "Восстановление и развитие возделывания многолетних трав (люцерны)  Чеченской Республики на 2009-2012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18 200,0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18 200,0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8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5</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Республиканская целевая программа "Восстановление и развитие семеноводства  зерновых культур в Чеченской Республике на 2009-2012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40 000,0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40 000,0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6</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Республиканская целевая программа " Восстановление и развитие садоводства Чеченской Республики на 2009-2012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136 000,0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136 000,0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22"/>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"Комплексные меры противодействия злоупотреблению наркотиками и их незаконному обороту на 2011-2014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38 010,0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37 471,8</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538,2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98,6%</w:t>
            </w:r>
          </w:p>
        </w:tc>
      </w:tr>
      <w:tr w:rsidR="006728A8" w:rsidRPr="002C53F1" w:rsidTr="00C412D2">
        <w:trPr>
          <w:trHeight w:val="51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8</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"Культура Чеченской Республики"</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25 850,0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25 850,0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r>
      <w:tr w:rsidR="006728A8" w:rsidRPr="002C53F1" w:rsidTr="00C412D2">
        <w:trPr>
          <w:trHeight w:val="131"/>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комплексная целевая программа "Энергосбережение и повышение энергетической эффективности в Чеченской Республике на 2011-2013 годы и на перспективу до 2020 года"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166 397,5</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166 015,0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382,5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99,8%</w:t>
            </w:r>
          </w:p>
        </w:tc>
      </w:tr>
      <w:tr w:rsidR="006728A8" w:rsidRPr="002C53F1" w:rsidTr="00C412D2">
        <w:trPr>
          <w:trHeight w:val="51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lastRenderedPageBreak/>
              <w:t>10</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"Чистая вода"  Чеченской Республики на 2012-2016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11 600,0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11 600,0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11</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комплексная программа допризывной подготовки молодежи в Чеченской Республике на 2010-2014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4 060,0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3 585,0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475,0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88,3%</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12</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"Социально-реабилитационный комплекс Чеченской Республики "Защитим детей и детство" на 2010-2012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7 000,0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r>
      <w:tr w:rsidR="006728A8" w:rsidRPr="002C53F1" w:rsidTr="00C412D2">
        <w:trPr>
          <w:trHeight w:val="127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"Обеспечение резервными автономными источниками энергоснабжения социально-значимых объектов жизнеобеспечения  Чеченской Республики на  2011-2014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27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14</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"Повышение устойчивости жилых домов, основных объектов и систем жизнеобеспечения на территории Чеченской республики на период с 2009-2014 годов" за счет средств республиканского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13 570,0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13 570,0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15</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 xml:space="preserve">Республиканская целевая программа "Развитие </w:t>
            </w:r>
            <w:proofErr w:type="gramStart"/>
            <w:r w:rsidRPr="002C53F1">
              <w:rPr>
                <w:rFonts w:ascii="Times New Roman" w:eastAsia="Times New Roman" w:hAnsi="Times New Roman" w:cs="Times New Roman"/>
                <w:color w:val="000000"/>
                <w:sz w:val="20"/>
                <w:szCs w:val="20"/>
                <w:lang w:eastAsia="ru-RU"/>
              </w:rPr>
              <w:t>свеклосахарного</w:t>
            </w:r>
            <w:proofErr w:type="gramEnd"/>
            <w:r w:rsidRPr="002C53F1">
              <w:rPr>
                <w:rFonts w:ascii="Times New Roman" w:eastAsia="Times New Roman" w:hAnsi="Times New Roman" w:cs="Times New Roman"/>
                <w:color w:val="000000"/>
                <w:sz w:val="20"/>
                <w:szCs w:val="20"/>
                <w:lang w:eastAsia="ru-RU"/>
              </w:rPr>
              <w:t xml:space="preserve"> </w:t>
            </w:r>
            <w:proofErr w:type="spellStart"/>
            <w:r w:rsidRPr="002C53F1">
              <w:rPr>
                <w:rFonts w:ascii="Times New Roman" w:eastAsia="Times New Roman" w:hAnsi="Times New Roman" w:cs="Times New Roman"/>
                <w:color w:val="000000"/>
                <w:sz w:val="20"/>
                <w:szCs w:val="20"/>
                <w:lang w:eastAsia="ru-RU"/>
              </w:rPr>
              <w:t>подкомплекса</w:t>
            </w:r>
            <w:proofErr w:type="spellEnd"/>
            <w:r w:rsidRPr="002C53F1">
              <w:rPr>
                <w:rFonts w:ascii="Times New Roman" w:eastAsia="Times New Roman" w:hAnsi="Times New Roman" w:cs="Times New Roman"/>
                <w:color w:val="000000"/>
                <w:sz w:val="20"/>
                <w:szCs w:val="20"/>
                <w:lang w:eastAsia="ru-RU"/>
              </w:rPr>
              <w:t xml:space="preserve"> ЧР на 2010-2012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7 500,0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7 500,0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16</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"Патриотическое воспитание граждан Российской Федерации, проживающих в Чеченской Республике, на 2010-2012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3 230,0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2 030,0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1 200,0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62,8%</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17</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модернизации здравоохранения Чеченской Республики на 2011-2012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98 106,5</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98 106,5</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18</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"Информатизация системы здравоохранения Чеченской Республики на 2011-2013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95 000,0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95 000,0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19</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"Информационное общество Чеченской Республики на 2011-2020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60 000,0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60 000,0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"Экология и природные ресурсы Чеченской Республики на период 2012-2014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17 460,0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17 460,0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21</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"Развитие промышленности в Чеченской Республике на период 2012-2014 годов"</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250 000,0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249 926,9</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73,1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22</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"Повышение безопасности дорожного движения в  Чеченской Республике в 2010-2012 годах"</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30 000,0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29 973,4</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26,6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99,9%</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23</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"Обеспечение жильем молодых семей на 2011-2015 годы" за счет средств федерального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481 825,8</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481 825,8</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24</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"Социально-экономическое развитие Чеченской Республики на 2008-2013 годы" за счет средств республиканского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13 172 413,6</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13 172 374,8</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51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25</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"Развитие села до 2013 года" за счет средств федерального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382 980,0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382 980,0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27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lastRenderedPageBreak/>
              <w:t>26</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 xml:space="preserve">Республиканская целевая программа "Сохранение и восстановление плодородия почв земель сельскохозяйственного назначения и </w:t>
            </w:r>
            <w:proofErr w:type="spellStart"/>
            <w:r w:rsidRPr="002C53F1">
              <w:rPr>
                <w:rFonts w:ascii="Times New Roman" w:eastAsia="Times New Roman" w:hAnsi="Times New Roman" w:cs="Times New Roman"/>
                <w:color w:val="000000"/>
                <w:sz w:val="20"/>
                <w:szCs w:val="20"/>
                <w:lang w:eastAsia="ru-RU"/>
              </w:rPr>
              <w:t>агроландшафтов</w:t>
            </w:r>
            <w:proofErr w:type="spellEnd"/>
            <w:r w:rsidRPr="002C53F1">
              <w:rPr>
                <w:rFonts w:ascii="Times New Roman" w:eastAsia="Times New Roman" w:hAnsi="Times New Roman" w:cs="Times New Roman"/>
                <w:color w:val="000000"/>
                <w:sz w:val="20"/>
                <w:szCs w:val="20"/>
                <w:lang w:eastAsia="ru-RU"/>
              </w:rPr>
              <w:t xml:space="preserve"> " за счет средств республиканского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94 000,0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94 000,0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27</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"Развитие спорта в Чеченской Республике на период 2012-2014 годов"</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769 585,0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769 585,0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28</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"Подготовка специалистов с углубленным знанием истории и культуры ислама на 2012-2014годы"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80 424,7</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80 424,7</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29</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"Развитие системы дошкольного образования Чеченской Республики на 2012 -2014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754 396,0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753 037,4</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1 358,6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99,8%</w:t>
            </w:r>
          </w:p>
        </w:tc>
      </w:tr>
      <w:tr w:rsidR="006728A8" w:rsidRPr="002C53F1" w:rsidTr="00C412D2">
        <w:trPr>
          <w:trHeight w:val="76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30</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"Поддержка начинающих фермеров в Чеченской Республике на период 2012-2014 годы"</w:t>
            </w:r>
          </w:p>
        </w:tc>
        <w:tc>
          <w:tcPr>
            <w:tcW w:w="1416" w:type="dxa"/>
            <w:tcBorders>
              <w:top w:val="single" w:sz="4" w:space="0" w:color="auto"/>
              <w:left w:val="nil"/>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43 771,0</w:t>
            </w:r>
          </w:p>
        </w:tc>
        <w:tc>
          <w:tcPr>
            <w:tcW w:w="1416" w:type="dxa"/>
            <w:tcBorders>
              <w:top w:val="single" w:sz="4" w:space="0" w:color="auto"/>
              <w:left w:val="nil"/>
              <w:bottom w:val="single" w:sz="4" w:space="0" w:color="auto"/>
              <w:right w:val="single" w:sz="4" w:space="0" w:color="auto"/>
            </w:tcBorders>
            <w:shd w:val="clear" w:color="000000" w:fill="FFFFFF"/>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43 771,0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27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31</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"Совершенствование оказания  медицинской помощи больным с сосудистыми заболеваниями в Чеченской Республике на 2012год" за счет средств федерального бюджета</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272 078,7</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272 077,9</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78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32</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Снижение административных барьеров, оптимизация и повышение качества предоставления государственных и муниципальных услуг, в том числе на базе многофункциональных центров предоставления государственных и муниципальных услуг в Чеченской Республике на 2011-2013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25 000,0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700,0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24 300,0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2,8%</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33</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"Развитие семейных животноводческих ферм на базе (крестьянских) фермерских хозяйств в Чеченской Республике на период 2012-2014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20 278,0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20 278,0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1020"/>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34</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color w:val="000000"/>
                <w:sz w:val="20"/>
                <w:szCs w:val="20"/>
                <w:lang w:eastAsia="ru-RU"/>
              </w:rPr>
            </w:pPr>
            <w:r w:rsidRPr="002C53F1">
              <w:rPr>
                <w:rFonts w:ascii="Times New Roman" w:eastAsia="Times New Roman" w:hAnsi="Times New Roman" w:cs="Times New Roman"/>
                <w:color w:val="000000"/>
                <w:sz w:val="20"/>
                <w:szCs w:val="20"/>
                <w:lang w:eastAsia="ru-RU"/>
              </w:rPr>
              <w:t>Республиканская целевая программа  "Вовлечение молодежи Чеченской Республики в предпринимательскую деятельность" на  2012-2014 годы</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19 925,0</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19 925,0</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sz w:val="20"/>
                <w:szCs w:val="20"/>
                <w:lang w:eastAsia="ru-RU"/>
              </w:rPr>
            </w:pPr>
            <w:r w:rsidRPr="002C53F1">
              <w:rPr>
                <w:rFonts w:ascii="Times New Roman" w:eastAsia="Times New Roman" w:hAnsi="Times New Roman" w:cs="Times New Roman"/>
                <w:sz w:val="20"/>
                <w:szCs w:val="20"/>
                <w:lang w:eastAsia="ru-RU"/>
              </w:rPr>
              <w:t>100,0%</w:t>
            </w:r>
          </w:p>
        </w:tc>
      </w:tr>
      <w:tr w:rsidR="006728A8" w:rsidRPr="002C53F1" w:rsidTr="00C412D2">
        <w:trPr>
          <w:trHeight w:val="255"/>
        </w:trPr>
        <w:tc>
          <w:tcPr>
            <w:tcW w:w="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 </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728A8" w:rsidRPr="002C53F1" w:rsidRDefault="006728A8" w:rsidP="00C412D2">
            <w:pPr>
              <w:spacing w:after="0" w:line="240" w:lineRule="auto"/>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Итого:</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17 412 073,8</w:t>
            </w:r>
          </w:p>
        </w:tc>
        <w:tc>
          <w:tcPr>
            <w:tcW w:w="1416"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17 344 232,5</w:t>
            </w:r>
          </w:p>
        </w:tc>
        <w:tc>
          <w:tcPr>
            <w:tcW w:w="1499"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67 841,4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6728A8" w:rsidRPr="002C53F1" w:rsidRDefault="006728A8" w:rsidP="00C412D2">
            <w:pPr>
              <w:spacing w:after="0" w:line="240" w:lineRule="auto"/>
              <w:jc w:val="center"/>
              <w:rPr>
                <w:rFonts w:ascii="Times New Roman" w:eastAsia="Times New Roman" w:hAnsi="Times New Roman" w:cs="Times New Roman"/>
                <w:b/>
                <w:bCs/>
                <w:sz w:val="20"/>
                <w:szCs w:val="20"/>
                <w:lang w:eastAsia="ru-RU"/>
              </w:rPr>
            </w:pPr>
            <w:r w:rsidRPr="002C53F1">
              <w:rPr>
                <w:rFonts w:ascii="Times New Roman" w:eastAsia="Times New Roman" w:hAnsi="Times New Roman" w:cs="Times New Roman"/>
                <w:b/>
                <w:bCs/>
                <w:sz w:val="20"/>
                <w:szCs w:val="20"/>
                <w:lang w:eastAsia="ru-RU"/>
              </w:rPr>
              <w:t>99,6%</w:t>
            </w:r>
          </w:p>
        </w:tc>
      </w:tr>
    </w:tbl>
    <w:p w:rsidR="006728A8" w:rsidRDefault="006728A8" w:rsidP="006728A8">
      <w:pPr>
        <w:rPr>
          <w:rFonts w:ascii="Times New Roman" w:hAnsi="Times New Roman" w:cs="Times New Roman"/>
          <w:b/>
          <w:sz w:val="24"/>
          <w:szCs w:val="24"/>
        </w:rPr>
      </w:pPr>
      <w:r>
        <w:rPr>
          <w:rFonts w:ascii="Times New Roman" w:hAnsi="Times New Roman" w:cs="Times New Roman"/>
          <w:b/>
          <w:sz w:val="24"/>
          <w:szCs w:val="24"/>
        </w:rPr>
        <w:br w:type="page"/>
      </w:r>
    </w:p>
    <w:p w:rsidR="006728A8" w:rsidRDefault="006728A8"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Pr="00797929" w:rsidRDefault="00797929" w:rsidP="00797929">
      <w:pPr>
        <w:spacing w:after="0" w:line="240" w:lineRule="auto"/>
        <w:jc w:val="center"/>
        <w:rPr>
          <w:rFonts w:ascii="Times New Roman" w:hAnsi="Times New Roman" w:cs="Times New Roman"/>
          <w:b/>
          <w:sz w:val="28"/>
          <w:szCs w:val="28"/>
        </w:rPr>
      </w:pPr>
      <w:r w:rsidRPr="00797929">
        <w:rPr>
          <w:rFonts w:ascii="Times New Roman" w:hAnsi="Times New Roman" w:cs="Times New Roman"/>
          <w:b/>
          <w:sz w:val="28"/>
          <w:szCs w:val="28"/>
        </w:rPr>
        <w:t>АНАЛИЗ ИСПОЛНЕНИЯ КОНСОЛИДИРОВАННОГО БЮДЖЕТА ЧЕЧЕНСКОЙ РЕСПУБЛИКИ В СОПОСТАВЛЕНИИ С ДРУГИМИ СУБЪЕКТАМИ РОССИЙСКОЙ ФЕДЕРАЦИИ</w:t>
      </w: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sectPr w:rsidR="00797929">
          <w:footerReference w:type="default" r:id="rId63"/>
          <w:pgSz w:w="11906" w:h="16838"/>
          <w:pgMar w:top="1134" w:right="850" w:bottom="1134" w:left="1701" w:header="708" w:footer="708"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p>
    <w:tbl>
      <w:tblPr>
        <w:tblW w:w="15100" w:type="dxa"/>
        <w:tblInd w:w="93" w:type="dxa"/>
        <w:tblLook w:val="04A0" w:firstRow="1" w:lastRow="0" w:firstColumn="1" w:lastColumn="0" w:noHBand="0" w:noVBand="1"/>
      </w:tblPr>
      <w:tblGrid>
        <w:gridCol w:w="503"/>
        <w:gridCol w:w="3198"/>
        <w:gridCol w:w="1559"/>
        <w:gridCol w:w="1559"/>
        <w:gridCol w:w="1158"/>
        <w:gridCol w:w="1840"/>
        <w:gridCol w:w="1160"/>
        <w:gridCol w:w="1432"/>
        <w:gridCol w:w="1391"/>
        <w:gridCol w:w="1300"/>
      </w:tblGrid>
      <w:tr w:rsidR="006728A8" w:rsidRPr="007F74B0" w:rsidTr="00C412D2">
        <w:trPr>
          <w:trHeight w:val="255"/>
        </w:trPr>
        <w:tc>
          <w:tcPr>
            <w:tcW w:w="15100" w:type="dxa"/>
            <w:gridSpan w:val="10"/>
            <w:tcBorders>
              <w:top w:val="nil"/>
              <w:left w:val="nil"/>
              <w:bottom w:val="nil"/>
              <w:right w:val="nil"/>
            </w:tcBorders>
            <w:shd w:val="clear" w:color="auto" w:fill="auto"/>
            <w:noWrap/>
            <w:vAlign w:val="bottom"/>
            <w:hideMark/>
          </w:tcPr>
          <w:p w:rsidR="006728A8" w:rsidRPr="007F74B0" w:rsidRDefault="006728A8" w:rsidP="00C412D2">
            <w:pPr>
              <w:spacing w:after="0" w:line="240" w:lineRule="auto"/>
              <w:jc w:val="center"/>
              <w:rPr>
                <w:rFonts w:ascii="Times New Roman" w:eastAsia="Times New Roman" w:hAnsi="Times New Roman" w:cs="Times New Roman"/>
                <w:b/>
                <w:bCs/>
                <w:sz w:val="24"/>
                <w:szCs w:val="24"/>
                <w:lang w:eastAsia="ru-RU"/>
              </w:rPr>
            </w:pPr>
            <w:r w:rsidRPr="007F74B0">
              <w:rPr>
                <w:rFonts w:ascii="Times New Roman" w:eastAsia="Times New Roman" w:hAnsi="Times New Roman" w:cs="Times New Roman"/>
                <w:b/>
                <w:bCs/>
                <w:sz w:val="24"/>
                <w:szCs w:val="24"/>
                <w:lang w:eastAsia="ru-RU"/>
              </w:rPr>
              <w:t>Соотношение налоговых и неналоговых доходов в бюджетах субъектов СКФО за 2012 год</w:t>
            </w:r>
          </w:p>
        </w:tc>
      </w:tr>
      <w:tr w:rsidR="006728A8" w:rsidRPr="007F74B0" w:rsidTr="00C412D2">
        <w:trPr>
          <w:trHeight w:val="255"/>
        </w:trPr>
        <w:tc>
          <w:tcPr>
            <w:tcW w:w="503"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3198"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158"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160"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432"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391"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bottom"/>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p>
        </w:tc>
      </w:tr>
      <w:tr w:rsidR="006728A8" w:rsidRPr="007F74B0" w:rsidTr="00C412D2">
        <w:trPr>
          <w:trHeight w:val="1530"/>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 xml:space="preserve">№ </w:t>
            </w:r>
            <w:proofErr w:type="gramStart"/>
            <w:r w:rsidRPr="007F74B0">
              <w:rPr>
                <w:rFonts w:ascii="Times New Roman" w:eastAsia="Times New Roman" w:hAnsi="Times New Roman" w:cs="Times New Roman"/>
                <w:b/>
                <w:bCs/>
                <w:sz w:val="20"/>
                <w:szCs w:val="20"/>
                <w:lang w:eastAsia="ru-RU"/>
              </w:rPr>
              <w:t>п</w:t>
            </w:r>
            <w:proofErr w:type="gramEnd"/>
            <w:r w:rsidRPr="007F74B0">
              <w:rPr>
                <w:rFonts w:ascii="Times New Roman" w:eastAsia="Times New Roman" w:hAnsi="Times New Roman" w:cs="Times New Roman"/>
                <w:b/>
                <w:bCs/>
                <w:sz w:val="20"/>
                <w:szCs w:val="20"/>
                <w:lang w:eastAsia="ru-RU"/>
              </w:rPr>
              <w:t>/п</w:t>
            </w:r>
          </w:p>
        </w:tc>
        <w:tc>
          <w:tcPr>
            <w:tcW w:w="3198"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Наименование субъекта РФ</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Общая сумма доходов бюджета</w:t>
            </w:r>
            <w:r w:rsidRPr="007F74B0">
              <w:rPr>
                <w:rFonts w:ascii="Times New Roman" w:eastAsia="Times New Roman" w:hAnsi="Times New Roman" w:cs="Times New Roman"/>
                <w:b/>
                <w:bCs/>
                <w:sz w:val="20"/>
                <w:szCs w:val="20"/>
                <w:lang w:eastAsia="ru-RU"/>
              </w:rPr>
              <w:br/>
              <w:t>тыс. рублей</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Налоговые и неналоговые доходы</w:t>
            </w:r>
            <w:r w:rsidRPr="007F74B0">
              <w:rPr>
                <w:rFonts w:ascii="Times New Roman" w:eastAsia="Times New Roman" w:hAnsi="Times New Roman" w:cs="Times New Roman"/>
                <w:b/>
                <w:bCs/>
                <w:sz w:val="20"/>
                <w:szCs w:val="20"/>
                <w:lang w:eastAsia="ru-RU"/>
              </w:rPr>
              <w:br/>
              <w:t>тыс. рублей</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Удельный вес в общей сумме доходов</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Безвозмездные и безвозвратные поступления с других уровней бюджета</w:t>
            </w:r>
            <w:r w:rsidRPr="007F74B0">
              <w:rPr>
                <w:rFonts w:ascii="Times New Roman" w:eastAsia="Times New Roman" w:hAnsi="Times New Roman" w:cs="Times New Roman"/>
                <w:b/>
                <w:bCs/>
                <w:sz w:val="20"/>
                <w:szCs w:val="20"/>
                <w:lang w:eastAsia="ru-RU"/>
              </w:rPr>
              <w:br/>
              <w:t>тыс. рублей</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Удельный вес в общей сумме доходов</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Дотации бюджетам субъектов СКФО</w:t>
            </w:r>
            <w:r w:rsidRPr="007F74B0">
              <w:rPr>
                <w:rFonts w:ascii="Times New Roman" w:eastAsia="Times New Roman" w:hAnsi="Times New Roman" w:cs="Times New Roman"/>
                <w:b/>
                <w:bCs/>
                <w:sz w:val="20"/>
                <w:szCs w:val="20"/>
                <w:lang w:eastAsia="ru-RU"/>
              </w:rPr>
              <w:br/>
              <w:t>тыс. рублей</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Численность населения на 01.01.2013г.</w:t>
            </w:r>
            <w:r w:rsidRPr="007F74B0">
              <w:rPr>
                <w:rFonts w:ascii="Times New Roman" w:eastAsia="Times New Roman" w:hAnsi="Times New Roman" w:cs="Times New Roman"/>
                <w:b/>
                <w:bCs/>
                <w:sz w:val="20"/>
                <w:szCs w:val="20"/>
                <w:lang w:eastAsia="ru-RU"/>
              </w:rPr>
              <w:br/>
              <w:t>чел.</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Объем дотаций в расчете на одного жителя</w:t>
            </w:r>
            <w:r w:rsidRPr="007F74B0">
              <w:rPr>
                <w:rFonts w:ascii="Times New Roman" w:eastAsia="Times New Roman" w:hAnsi="Times New Roman" w:cs="Times New Roman"/>
                <w:b/>
                <w:bCs/>
                <w:sz w:val="20"/>
                <w:szCs w:val="20"/>
                <w:lang w:eastAsia="ru-RU"/>
              </w:rPr>
              <w:br/>
              <w:t>руб.</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В целом по СКФО</w:t>
            </w:r>
          </w:p>
        </w:tc>
        <w:tc>
          <w:tcPr>
            <w:tcW w:w="1559" w:type="dxa"/>
            <w:tcBorders>
              <w:top w:val="nil"/>
              <w:left w:val="nil"/>
              <w:bottom w:val="single" w:sz="4" w:space="0" w:color="auto"/>
              <w:right w:val="single" w:sz="4" w:space="0" w:color="auto"/>
            </w:tcBorders>
            <w:shd w:val="clear" w:color="auto" w:fill="auto"/>
            <w:noWrap/>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331 838 554,0</w:t>
            </w:r>
          </w:p>
        </w:tc>
        <w:tc>
          <w:tcPr>
            <w:tcW w:w="1559"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118 634 452,6</w:t>
            </w:r>
          </w:p>
        </w:tc>
        <w:tc>
          <w:tcPr>
            <w:tcW w:w="115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35,8%</w:t>
            </w:r>
          </w:p>
        </w:tc>
        <w:tc>
          <w:tcPr>
            <w:tcW w:w="184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213 204 101,4</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64,2%</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119 328 164,6</w:t>
            </w:r>
          </w:p>
        </w:tc>
        <w:tc>
          <w:tcPr>
            <w:tcW w:w="1391"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9 540 758,0</w:t>
            </w:r>
          </w:p>
        </w:tc>
        <w:tc>
          <w:tcPr>
            <w:tcW w:w="130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b/>
                <w:bCs/>
                <w:sz w:val="20"/>
                <w:szCs w:val="20"/>
                <w:lang w:eastAsia="ru-RU"/>
              </w:rPr>
            </w:pPr>
            <w:r w:rsidRPr="007F74B0">
              <w:rPr>
                <w:rFonts w:ascii="Times New Roman" w:eastAsia="Times New Roman" w:hAnsi="Times New Roman" w:cs="Times New Roman"/>
                <w:b/>
                <w:bCs/>
                <w:sz w:val="20"/>
                <w:szCs w:val="20"/>
                <w:lang w:eastAsia="ru-RU"/>
              </w:rPr>
              <w:t>12 507,2</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Республика Дагестан</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79 988 527,29</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22 223 301,57</w:t>
            </w:r>
          </w:p>
        </w:tc>
        <w:tc>
          <w:tcPr>
            <w:tcW w:w="1158"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27,8%</w:t>
            </w:r>
          </w:p>
        </w:tc>
        <w:tc>
          <w:tcPr>
            <w:tcW w:w="184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57 765 225,72</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72,2%</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36 861 913,6</w:t>
            </w:r>
          </w:p>
        </w:tc>
        <w:tc>
          <w:tcPr>
            <w:tcW w:w="1391"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2 946 035,00</w:t>
            </w:r>
          </w:p>
        </w:tc>
        <w:tc>
          <w:tcPr>
            <w:tcW w:w="130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12 512,38</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3</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Республика Ингушетия</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20 589 310,43</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2 799 249,37</w:t>
            </w:r>
          </w:p>
        </w:tc>
        <w:tc>
          <w:tcPr>
            <w:tcW w:w="1158"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13,6%</w:t>
            </w:r>
          </w:p>
        </w:tc>
        <w:tc>
          <w:tcPr>
            <w:tcW w:w="184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17 790 061,06</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86,4%</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8 320 817,9</w:t>
            </w:r>
          </w:p>
        </w:tc>
        <w:tc>
          <w:tcPr>
            <w:tcW w:w="1391"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442 255,00</w:t>
            </w:r>
          </w:p>
        </w:tc>
        <w:tc>
          <w:tcPr>
            <w:tcW w:w="130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18 814,53</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4</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Кабардино-Балкарская республика</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24 589 547,66</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10 929 682,97</w:t>
            </w:r>
          </w:p>
        </w:tc>
        <w:tc>
          <w:tcPr>
            <w:tcW w:w="1158"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44,4%</w:t>
            </w:r>
          </w:p>
        </w:tc>
        <w:tc>
          <w:tcPr>
            <w:tcW w:w="184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13 659 864,69</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55,6%</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6 468 959,2</w:t>
            </w:r>
          </w:p>
        </w:tc>
        <w:tc>
          <w:tcPr>
            <w:tcW w:w="1391"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858 946,00</w:t>
            </w:r>
          </w:p>
        </w:tc>
        <w:tc>
          <w:tcPr>
            <w:tcW w:w="130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7 531,28</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5</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Карачаево-Черкесская республика</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20 865 053,32</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5 649 959,25</w:t>
            </w:r>
          </w:p>
        </w:tc>
        <w:tc>
          <w:tcPr>
            <w:tcW w:w="1158"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27,1%</w:t>
            </w:r>
          </w:p>
        </w:tc>
        <w:tc>
          <w:tcPr>
            <w:tcW w:w="184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15 215 094,07</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72,9%</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7 791 650,2</w:t>
            </w:r>
          </w:p>
        </w:tc>
        <w:tc>
          <w:tcPr>
            <w:tcW w:w="1391"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471 847,00</w:t>
            </w:r>
          </w:p>
        </w:tc>
        <w:tc>
          <w:tcPr>
            <w:tcW w:w="130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16 513,09</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6</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Республика Северная Осетия</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22 601 038,07</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9 209 000,94</w:t>
            </w:r>
          </w:p>
        </w:tc>
        <w:tc>
          <w:tcPr>
            <w:tcW w:w="1158"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40,7%</w:t>
            </w:r>
          </w:p>
        </w:tc>
        <w:tc>
          <w:tcPr>
            <w:tcW w:w="184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13 392 037,13</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59,3%</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7 687 982,3</w:t>
            </w:r>
          </w:p>
        </w:tc>
        <w:tc>
          <w:tcPr>
            <w:tcW w:w="1391"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706 123,00</w:t>
            </w:r>
          </w:p>
        </w:tc>
        <w:tc>
          <w:tcPr>
            <w:tcW w:w="130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10 887,60</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000000" w:fill="D8E4BC"/>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w:t>
            </w:r>
          </w:p>
        </w:tc>
        <w:tc>
          <w:tcPr>
            <w:tcW w:w="3198" w:type="dxa"/>
            <w:tcBorders>
              <w:top w:val="nil"/>
              <w:left w:val="nil"/>
              <w:bottom w:val="single" w:sz="4" w:space="0" w:color="auto"/>
              <w:right w:val="single" w:sz="4" w:space="0" w:color="auto"/>
            </w:tcBorders>
            <w:shd w:val="clear" w:color="000000" w:fill="D8E4BC"/>
            <w:vAlign w:val="center"/>
            <w:hideMark/>
          </w:tcPr>
          <w:p w:rsidR="006728A8" w:rsidRPr="007F74B0" w:rsidRDefault="006728A8" w:rsidP="00C412D2">
            <w:pPr>
              <w:spacing w:after="0" w:line="240" w:lineRule="auto"/>
              <w:rPr>
                <w:rFonts w:ascii="Times New Roman" w:eastAsia="Times New Roman" w:hAnsi="Times New Roman" w:cs="Times New Roman"/>
                <w:sz w:val="20"/>
                <w:szCs w:val="20"/>
                <w:u w:val="single"/>
                <w:lang w:eastAsia="ru-RU"/>
              </w:rPr>
            </w:pPr>
            <w:r w:rsidRPr="007F74B0">
              <w:rPr>
                <w:rFonts w:ascii="Times New Roman" w:eastAsia="Times New Roman" w:hAnsi="Times New Roman" w:cs="Times New Roman"/>
                <w:sz w:val="20"/>
                <w:szCs w:val="20"/>
                <w:u w:val="single"/>
                <w:lang w:eastAsia="ru-RU"/>
              </w:rPr>
              <w:t>Чеченская Республика</w:t>
            </w:r>
          </w:p>
        </w:tc>
        <w:tc>
          <w:tcPr>
            <w:tcW w:w="1559" w:type="dxa"/>
            <w:tcBorders>
              <w:top w:val="nil"/>
              <w:left w:val="nil"/>
              <w:bottom w:val="single" w:sz="4" w:space="0" w:color="auto"/>
              <w:right w:val="single" w:sz="4" w:space="0" w:color="auto"/>
            </w:tcBorders>
            <w:shd w:val="clear" w:color="000000" w:fill="D8E4BC"/>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78 303 356,20</w:t>
            </w:r>
          </w:p>
        </w:tc>
        <w:tc>
          <w:tcPr>
            <w:tcW w:w="1559" w:type="dxa"/>
            <w:tcBorders>
              <w:top w:val="nil"/>
              <w:left w:val="nil"/>
              <w:bottom w:val="single" w:sz="4" w:space="0" w:color="auto"/>
              <w:right w:val="single" w:sz="4" w:space="0" w:color="auto"/>
            </w:tcBorders>
            <w:shd w:val="clear" w:color="000000" w:fill="D8E4BC"/>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11 650 606,2</w:t>
            </w:r>
          </w:p>
        </w:tc>
        <w:tc>
          <w:tcPr>
            <w:tcW w:w="1158" w:type="dxa"/>
            <w:tcBorders>
              <w:top w:val="nil"/>
              <w:left w:val="nil"/>
              <w:bottom w:val="single" w:sz="4" w:space="0" w:color="auto"/>
              <w:right w:val="single" w:sz="4" w:space="0" w:color="auto"/>
            </w:tcBorders>
            <w:shd w:val="clear" w:color="000000" w:fill="D8E4BC"/>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14,9%</w:t>
            </w:r>
          </w:p>
        </w:tc>
        <w:tc>
          <w:tcPr>
            <w:tcW w:w="1840" w:type="dxa"/>
            <w:tcBorders>
              <w:top w:val="nil"/>
              <w:left w:val="nil"/>
              <w:bottom w:val="single" w:sz="4" w:space="0" w:color="auto"/>
              <w:right w:val="single" w:sz="4" w:space="0" w:color="auto"/>
            </w:tcBorders>
            <w:shd w:val="clear" w:color="000000" w:fill="D8E4BC"/>
            <w:noWrap/>
            <w:vAlign w:val="center"/>
            <w:hideMark/>
          </w:tcPr>
          <w:p w:rsidR="006728A8" w:rsidRPr="007F74B0"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7F74B0">
              <w:rPr>
                <w:rFonts w:ascii="Times New Roman" w:eastAsia="Times New Roman" w:hAnsi="Times New Roman" w:cs="Times New Roman"/>
                <w:color w:val="000000"/>
                <w:sz w:val="20"/>
                <w:szCs w:val="20"/>
                <w:lang w:eastAsia="ru-RU"/>
              </w:rPr>
              <w:t>66 652 749,98</w:t>
            </w:r>
          </w:p>
        </w:tc>
        <w:tc>
          <w:tcPr>
            <w:tcW w:w="1160" w:type="dxa"/>
            <w:tcBorders>
              <w:top w:val="nil"/>
              <w:left w:val="nil"/>
              <w:bottom w:val="single" w:sz="4" w:space="0" w:color="auto"/>
              <w:right w:val="single" w:sz="4" w:space="0" w:color="auto"/>
            </w:tcBorders>
            <w:shd w:val="clear" w:color="000000" w:fill="D8E4BC"/>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85,1%</w:t>
            </w:r>
          </w:p>
        </w:tc>
        <w:tc>
          <w:tcPr>
            <w:tcW w:w="1432" w:type="dxa"/>
            <w:tcBorders>
              <w:top w:val="nil"/>
              <w:left w:val="nil"/>
              <w:bottom w:val="single" w:sz="4" w:space="0" w:color="auto"/>
              <w:right w:val="single" w:sz="4" w:space="0" w:color="auto"/>
            </w:tcBorders>
            <w:shd w:val="clear" w:color="000000" w:fill="D8E4BC"/>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41 627 931,8</w:t>
            </w:r>
          </w:p>
        </w:tc>
        <w:tc>
          <w:tcPr>
            <w:tcW w:w="1391" w:type="dxa"/>
            <w:tcBorders>
              <w:top w:val="nil"/>
              <w:left w:val="nil"/>
              <w:bottom w:val="single" w:sz="4" w:space="0" w:color="auto"/>
              <w:right w:val="single" w:sz="4" w:space="0" w:color="auto"/>
            </w:tcBorders>
            <w:shd w:val="clear" w:color="000000" w:fill="D8E4BC"/>
            <w:noWrap/>
            <w:vAlign w:val="center"/>
            <w:hideMark/>
          </w:tcPr>
          <w:p w:rsidR="006728A8" w:rsidRPr="007F74B0"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7F74B0">
              <w:rPr>
                <w:rFonts w:ascii="Times New Roman" w:eastAsia="Times New Roman" w:hAnsi="Times New Roman" w:cs="Times New Roman"/>
                <w:color w:val="000000"/>
                <w:sz w:val="20"/>
                <w:szCs w:val="20"/>
                <w:lang w:eastAsia="ru-RU"/>
              </w:rPr>
              <w:t>1 324 767,00</w:t>
            </w:r>
          </w:p>
        </w:tc>
        <w:tc>
          <w:tcPr>
            <w:tcW w:w="1300" w:type="dxa"/>
            <w:tcBorders>
              <w:top w:val="nil"/>
              <w:left w:val="nil"/>
              <w:bottom w:val="single" w:sz="4" w:space="0" w:color="auto"/>
              <w:right w:val="single" w:sz="4" w:space="0" w:color="auto"/>
            </w:tcBorders>
            <w:shd w:val="clear" w:color="000000" w:fill="D8E4BC"/>
            <w:noWrap/>
            <w:vAlign w:val="center"/>
            <w:hideMark/>
          </w:tcPr>
          <w:p w:rsidR="006728A8" w:rsidRPr="007F74B0"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7F74B0">
              <w:rPr>
                <w:rFonts w:ascii="Times New Roman" w:eastAsia="Times New Roman" w:hAnsi="Times New Roman" w:cs="Times New Roman"/>
                <w:color w:val="000000"/>
                <w:sz w:val="20"/>
                <w:szCs w:val="20"/>
                <w:lang w:eastAsia="ru-RU"/>
              </w:rPr>
              <w:t>31 422,83</w:t>
            </w:r>
          </w:p>
        </w:tc>
      </w:tr>
      <w:tr w:rsidR="006728A8" w:rsidRPr="007F74B0"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8</w:t>
            </w:r>
          </w:p>
        </w:tc>
        <w:tc>
          <w:tcPr>
            <w:tcW w:w="3198"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Ставропольский край</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84 901 721,07</w:t>
            </w:r>
          </w:p>
        </w:tc>
        <w:tc>
          <w:tcPr>
            <w:tcW w:w="1559"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56 172 652,32</w:t>
            </w:r>
          </w:p>
        </w:tc>
        <w:tc>
          <w:tcPr>
            <w:tcW w:w="1158"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66,2%</w:t>
            </w:r>
          </w:p>
        </w:tc>
        <w:tc>
          <w:tcPr>
            <w:tcW w:w="184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28 729 068,75</w:t>
            </w:r>
          </w:p>
        </w:tc>
        <w:tc>
          <w:tcPr>
            <w:tcW w:w="1160"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33,8%</w:t>
            </w:r>
          </w:p>
        </w:tc>
        <w:tc>
          <w:tcPr>
            <w:tcW w:w="1432" w:type="dxa"/>
            <w:tcBorders>
              <w:top w:val="nil"/>
              <w:left w:val="nil"/>
              <w:bottom w:val="single" w:sz="4" w:space="0" w:color="auto"/>
              <w:right w:val="single" w:sz="4" w:space="0" w:color="auto"/>
            </w:tcBorders>
            <w:shd w:val="clear" w:color="auto" w:fill="auto"/>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10 568 909,6</w:t>
            </w:r>
          </w:p>
        </w:tc>
        <w:tc>
          <w:tcPr>
            <w:tcW w:w="1391"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2 790 785,00</w:t>
            </w:r>
          </w:p>
        </w:tc>
        <w:tc>
          <w:tcPr>
            <w:tcW w:w="1300" w:type="dxa"/>
            <w:tcBorders>
              <w:top w:val="nil"/>
              <w:left w:val="nil"/>
              <w:bottom w:val="single" w:sz="4" w:space="0" w:color="auto"/>
              <w:right w:val="single" w:sz="4" w:space="0" w:color="auto"/>
            </w:tcBorders>
            <w:shd w:val="clear" w:color="000000" w:fill="FFFFFF"/>
            <w:noWrap/>
            <w:vAlign w:val="center"/>
            <w:hideMark/>
          </w:tcPr>
          <w:p w:rsidR="006728A8" w:rsidRPr="007F74B0" w:rsidRDefault="006728A8" w:rsidP="00C412D2">
            <w:pPr>
              <w:spacing w:after="0" w:line="240" w:lineRule="auto"/>
              <w:jc w:val="center"/>
              <w:rPr>
                <w:rFonts w:ascii="Times New Roman" w:eastAsia="Times New Roman" w:hAnsi="Times New Roman" w:cs="Times New Roman"/>
                <w:sz w:val="20"/>
                <w:szCs w:val="20"/>
                <w:lang w:eastAsia="ru-RU"/>
              </w:rPr>
            </w:pPr>
            <w:r w:rsidRPr="007F74B0">
              <w:rPr>
                <w:rFonts w:ascii="Times New Roman" w:eastAsia="Times New Roman" w:hAnsi="Times New Roman" w:cs="Times New Roman"/>
                <w:sz w:val="20"/>
                <w:szCs w:val="20"/>
                <w:lang w:eastAsia="ru-RU"/>
              </w:rPr>
              <w:t>3 787,07</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7F74B0">
          <w:pgSz w:w="16838" w:h="11906" w:orient="landscape"/>
          <w:pgMar w:top="851" w:right="1134" w:bottom="1701" w:left="1134" w:header="709" w:footer="709" w:gutter="0"/>
          <w:cols w:space="708"/>
          <w:docGrid w:linePitch="360"/>
        </w:sectPr>
      </w:pPr>
    </w:p>
    <w:p w:rsidR="006728A8" w:rsidRDefault="006728A8" w:rsidP="006728A8">
      <w:pPr>
        <w:spacing w:after="0" w:line="240" w:lineRule="auto"/>
        <w:ind w:left="-567"/>
        <w:jc w:val="both"/>
        <w:rPr>
          <w:rFonts w:ascii="Times New Roman" w:hAnsi="Times New Roman" w:cs="Times New Roman"/>
          <w:b/>
          <w:sz w:val="24"/>
          <w:szCs w:val="24"/>
        </w:rPr>
      </w:pPr>
      <w:r>
        <w:rPr>
          <w:noProof/>
          <w:lang w:eastAsia="ru-RU"/>
        </w:rPr>
        <w:lastRenderedPageBreak/>
        <w:drawing>
          <wp:inline distT="0" distB="0" distL="0" distR="0" wp14:anchorId="2B6B8B32" wp14:editId="57C7B6EF">
            <wp:extent cx="6457444" cy="4685289"/>
            <wp:effectExtent l="0" t="0" r="635" b="127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23C1CA63" wp14:editId="5C7E1074">
            <wp:extent cx="6460273" cy="423003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6728A8" w:rsidRDefault="006728A8" w:rsidP="006728A8">
      <w:pPr>
        <w:rPr>
          <w:rFonts w:ascii="Times New Roman" w:hAnsi="Times New Roman" w:cs="Times New Roman"/>
          <w:b/>
          <w:sz w:val="24"/>
          <w:szCs w:val="24"/>
        </w:rPr>
      </w:pPr>
      <w:r>
        <w:rPr>
          <w:rFonts w:ascii="Times New Roman" w:hAnsi="Times New Roman" w:cs="Times New Roman"/>
          <w:b/>
          <w:sz w:val="24"/>
          <w:szCs w:val="24"/>
        </w:rPr>
        <w:br w:type="page"/>
      </w:r>
    </w:p>
    <w:p w:rsidR="006728A8" w:rsidRDefault="006728A8" w:rsidP="006728A8">
      <w:pPr>
        <w:spacing w:after="0" w:line="360" w:lineRule="auto"/>
        <w:ind w:left="-567"/>
        <w:jc w:val="both"/>
        <w:rPr>
          <w:rFonts w:ascii="Times New Roman" w:hAnsi="Times New Roman" w:cs="Times New Roman"/>
          <w:b/>
          <w:sz w:val="24"/>
          <w:szCs w:val="24"/>
        </w:rPr>
        <w:sectPr w:rsidR="006728A8" w:rsidSect="00093C62">
          <w:pgSz w:w="11906" w:h="16838"/>
          <w:pgMar w:top="1134" w:right="851" w:bottom="1134" w:left="1701"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tbl>
      <w:tblPr>
        <w:tblW w:w="15185" w:type="dxa"/>
        <w:tblInd w:w="93" w:type="dxa"/>
        <w:tblLook w:val="04A0" w:firstRow="1" w:lastRow="0" w:firstColumn="1" w:lastColumn="0" w:noHBand="0" w:noVBand="1"/>
      </w:tblPr>
      <w:tblGrid>
        <w:gridCol w:w="503"/>
        <w:gridCol w:w="2489"/>
        <w:gridCol w:w="1560"/>
        <w:gridCol w:w="1720"/>
        <w:gridCol w:w="1484"/>
        <w:gridCol w:w="1473"/>
        <w:gridCol w:w="1559"/>
        <w:gridCol w:w="1484"/>
        <w:gridCol w:w="1493"/>
        <w:gridCol w:w="1420"/>
      </w:tblGrid>
      <w:tr w:rsidR="006728A8" w:rsidRPr="00C65504" w:rsidTr="00C412D2">
        <w:trPr>
          <w:trHeight w:val="255"/>
        </w:trPr>
        <w:tc>
          <w:tcPr>
            <w:tcW w:w="15185" w:type="dxa"/>
            <w:gridSpan w:val="10"/>
            <w:tcBorders>
              <w:top w:val="nil"/>
              <w:left w:val="nil"/>
              <w:bottom w:val="nil"/>
              <w:right w:val="nil"/>
            </w:tcBorders>
            <w:shd w:val="clear" w:color="auto" w:fill="auto"/>
            <w:noWrap/>
            <w:vAlign w:val="bottom"/>
            <w:hideMark/>
          </w:tcPr>
          <w:p w:rsidR="006728A8" w:rsidRPr="00C65504" w:rsidRDefault="006728A8" w:rsidP="00C412D2">
            <w:pPr>
              <w:spacing w:after="0" w:line="240" w:lineRule="auto"/>
              <w:jc w:val="center"/>
              <w:rPr>
                <w:rFonts w:ascii="Times New Roman" w:eastAsia="Times New Roman" w:hAnsi="Times New Roman" w:cs="Times New Roman"/>
                <w:b/>
                <w:bCs/>
                <w:sz w:val="24"/>
                <w:szCs w:val="24"/>
                <w:lang w:eastAsia="ru-RU"/>
              </w:rPr>
            </w:pPr>
            <w:r w:rsidRPr="00C65504">
              <w:rPr>
                <w:rFonts w:ascii="Times New Roman" w:eastAsia="Times New Roman" w:hAnsi="Times New Roman" w:cs="Times New Roman"/>
                <w:b/>
                <w:bCs/>
                <w:sz w:val="24"/>
                <w:szCs w:val="24"/>
                <w:lang w:eastAsia="ru-RU"/>
              </w:rPr>
              <w:t>Поступление налоговых и неналоговых доходов в бюджеты субъектов СКФО за 2012 год</w:t>
            </w:r>
          </w:p>
        </w:tc>
      </w:tr>
      <w:tr w:rsidR="006728A8" w:rsidRPr="00C65504" w:rsidTr="00C412D2">
        <w:trPr>
          <w:trHeight w:val="255"/>
        </w:trPr>
        <w:tc>
          <w:tcPr>
            <w:tcW w:w="503"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2489"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720"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473"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559"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493"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c>
          <w:tcPr>
            <w:tcW w:w="1420" w:type="dxa"/>
            <w:tcBorders>
              <w:top w:val="nil"/>
              <w:left w:val="nil"/>
              <w:bottom w:val="nil"/>
              <w:right w:val="nil"/>
            </w:tcBorders>
            <w:shd w:val="clear" w:color="auto" w:fill="auto"/>
            <w:noWrap/>
            <w:vAlign w:val="bottom"/>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p>
        </w:tc>
      </w:tr>
      <w:tr w:rsidR="006728A8" w:rsidRPr="00C65504" w:rsidTr="00C412D2">
        <w:trPr>
          <w:trHeight w:val="178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 xml:space="preserve">№ </w:t>
            </w:r>
            <w:proofErr w:type="gramStart"/>
            <w:r w:rsidRPr="00C65504">
              <w:rPr>
                <w:rFonts w:ascii="Times New Roman" w:eastAsia="Times New Roman" w:hAnsi="Times New Roman" w:cs="Times New Roman"/>
                <w:b/>
                <w:bCs/>
                <w:sz w:val="20"/>
                <w:szCs w:val="20"/>
                <w:lang w:eastAsia="ru-RU"/>
              </w:rPr>
              <w:t>п</w:t>
            </w:r>
            <w:proofErr w:type="gramEnd"/>
            <w:r w:rsidRPr="00C65504">
              <w:rPr>
                <w:rFonts w:ascii="Times New Roman" w:eastAsia="Times New Roman" w:hAnsi="Times New Roman" w:cs="Times New Roman"/>
                <w:b/>
                <w:bCs/>
                <w:sz w:val="20"/>
                <w:szCs w:val="20"/>
                <w:lang w:eastAsia="ru-RU"/>
              </w:rPr>
              <w:t>/п</w:t>
            </w:r>
          </w:p>
        </w:tc>
        <w:tc>
          <w:tcPr>
            <w:tcW w:w="2489"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Наименование субъекта РФ</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 xml:space="preserve">Поступило налоговых и неналоговых доходов </w:t>
            </w:r>
            <w:r w:rsidRPr="00C65504">
              <w:rPr>
                <w:rFonts w:ascii="Times New Roman" w:eastAsia="Times New Roman" w:hAnsi="Times New Roman" w:cs="Times New Roman"/>
                <w:b/>
                <w:bCs/>
                <w:sz w:val="20"/>
                <w:szCs w:val="20"/>
                <w:lang w:eastAsia="ru-RU"/>
              </w:rPr>
              <w:br/>
              <w:t>2011 году,</w:t>
            </w:r>
            <w:r w:rsidRPr="00C65504">
              <w:rPr>
                <w:rFonts w:ascii="Times New Roman" w:eastAsia="Times New Roman" w:hAnsi="Times New Roman" w:cs="Times New Roman"/>
                <w:b/>
                <w:bCs/>
                <w:sz w:val="20"/>
                <w:szCs w:val="20"/>
                <w:lang w:eastAsia="ru-RU"/>
              </w:rPr>
              <w:br/>
              <w:t>тыс. руб.</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 xml:space="preserve">Поступило налоговых и неналоговых доходов </w:t>
            </w:r>
            <w:r w:rsidRPr="00C65504">
              <w:rPr>
                <w:rFonts w:ascii="Times New Roman" w:eastAsia="Times New Roman" w:hAnsi="Times New Roman" w:cs="Times New Roman"/>
                <w:b/>
                <w:bCs/>
                <w:sz w:val="20"/>
                <w:szCs w:val="20"/>
                <w:lang w:eastAsia="ru-RU"/>
              </w:rPr>
              <w:br/>
              <w:t>2012 году,</w:t>
            </w:r>
            <w:r w:rsidRPr="00C65504">
              <w:rPr>
                <w:rFonts w:ascii="Times New Roman" w:eastAsia="Times New Roman" w:hAnsi="Times New Roman" w:cs="Times New Roman"/>
                <w:b/>
                <w:bCs/>
                <w:sz w:val="20"/>
                <w:szCs w:val="20"/>
                <w:lang w:eastAsia="ru-RU"/>
              </w:rPr>
              <w:br/>
              <w:t>тыс. руб.</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Темп роста к предыдущему году, %</w:t>
            </w:r>
          </w:p>
        </w:tc>
        <w:tc>
          <w:tcPr>
            <w:tcW w:w="1473" w:type="dxa"/>
            <w:tcBorders>
              <w:top w:val="single" w:sz="4" w:space="0" w:color="auto"/>
              <w:left w:val="nil"/>
              <w:bottom w:val="single" w:sz="4" w:space="0" w:color="auto"/>
              <w:right w:val="single" w:sz="4" w:space="0" w:color="auto"/>
            </w:tcBorders>
            <w:shd w:val="clear" w:color="auto" w:fill="auto"/>
            <w:vAlign w:val="center"/>
            <w:hideMark/>
          </w:tcPr>
          <w:p w:rsidR="005F5AC3"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Налоговы</w:t>
            </w:r>
            <w:r>
              <w:rPr>
                <w:rFonts w:ascii="Times New Roman" w:eastAsia="Times New Roman" w:hAnsi="Times New Roman" w:cs="Times New Roman"/>
                <w:b/>
                <w:bCs/>
                <w:sz w:val="20"/>
                <w:szCs w:val="20"/>
                <w:lang w:eastAsia="ru-RU"/>
              </w:rPr>
              <w:t>е</w:t>
            </w:r>
            <w:r w:rsidRPr="00C65504">
              <w:rPr>
                <w:rFonts w:ascii="Times New Roman" w:eastAsia="Times New Roman" w:hAnsi="Times New Roman" w:cs="Times New Roman"/>
                <w:b/>
                <w:bCs/>
                <w:sz w:val="20"/>
                <w:szCs w:val="20"/>
                <w:lang w:eastAsia="ru-RU"/>
              </w:rPr>
              <w:t xml:space="preserve"> и неналоговые поступления в расчете на душу населения 2011 год, </w:t>
            </w:r>
          </w:p>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руб.</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F5AC3"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Налоговы</w:t>
            </w:r>
            <w:r>
              <w:rPr>
                <w:rFonts w:ascii="Times New Roman" w:eastAsia="Times New Roman" w:hAnsi="Times New Roman" w:cs="Times New Roman"/>
                <w:b/>
                <w:bCs/>
                <w:sz w:val="20"/>
                <w:szCs w:val="20"/>
                <w:lang w:eastAsia="ru-RU"/>
              </w:rPr>
              <w:t>е</w:t>
            </w:r>
            <w:r w:rsidRPr="00C65504">
              <w:rPr>
                <w:rFonts w:ascii="Times New Roman" w:eastAsia="Times New Roman" w:hAnsi="Times New Roman" w:cs="Times New Roman"/>
                <w:b/>
                <w:bCs/>
                <w:sz w:val="20"/>
                <w:szCs w:val="20"/>
                <w:lang w:eastAsia="ru-RU"/>
              </w:rPr>
              <w:t xml:space="preserve"> и неналоговые поступления в расчете на душу населения 2012 год, </w:t>
            </w:r>
          </w:p>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руб.</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Темп роста к предыдущему году, %</w:t>
            </w:r>
          </w:p>
        </w:tc>
        <w:tc>
          <w:tcPr>
            <w:tcW w:w="1493"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Численность населения на 01.01.2011г.,</w:t>
            </w:r>
            <w:r w:rsidRPr="00C65504">
              <w:rPr>
                <w:rFonts w:ascii="Times New Roman" w:eastAsia="Times New Roman" w:hAnsi="Times New Roman" w:cs="Times New Roman"/>
                <w:b/>
                <w:bCs/>
                <w:sz w:val="20"/>
                <w:szCs w:val="20"/>
                <w:lang w:eastAsia="ru-RU"/>
              </w:rPr>
              <w:br/>
              <w:t>чел.</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b/>
                <w:bCs/>
                <w:sz w:val="20"/>
                <w:szCs w:val="20"/>
                <w:lang w:eastAsia="ru-RU"/>
              </w:rPr>
            </w:pPr>
            <w:r w:rsidRPr="00C65504">
              <w:rPr>
                <w:rFonts w:ascii="Times New Roman" w:eastAsia="Times New Roman" w:hAnsi="Times New Roman" w:cs="Times New Roman"/>
                <w:b/>
                <w:bCs/>
                <w:sz w:val="20"/>
                <w:szCs w:val="20"/>
                <w:lang w:eastAsia="ru-RU"/>
              </w:rPr>
              <w:t xml:space="preserve">Численность населения на 01.01.2013г., </w:t>
            </w:r>
            <w:r w:rsidRPr="00C65504">
              <w:rPr>
                <w:rFonts w:ascii="Times New Roman" w:eastAsia="Times New Roman" w:hAnsi="Times New Roman" w:cs="Times New Roman"/>
                <w:b/>
                <w:bCs/>
                <w:sz w:val="20"/>
                <w:szCs w:val="20"/>
                <w:lang w:eastAsia="ru-RU"/>
              </w:rPr>
              <w:br/>
              <w:t>чел.</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В целом по Российской Федерации</w:t>
            </w:r>
          </w:p>
        </w:tc>
        <w:tc>
          <w:tcPr>
            <w:tcW w:w="1560"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5 827 290 400,6</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6 384 702 556,32</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9,6%</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40 788,7</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44 540,2</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9,2%</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142 865 433,0</w:t>
            </w:r>
          </w:p>
        </w:tc>
        <w:tc>
          <w:tcPr>
            <w:tcW w:w="14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143 347 059,0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В целом по СКФО</w:t>
            </w:r>
          </w:p>
        </w:tc>
        <w:tc>
          <w:tcPr>
            <w:tcW w:w="1560"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107 128 958,7</w:t>
            </w:r>
          </w:p>
        </w:tc>
        <w:tc>
          <w:tcPr>
            <w:tcW w:w="1720"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118 634 452,6</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10,7%</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11 285,2</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12 434,5</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10,2%</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9 492 909,0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9 540 758,0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3</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Республика Дагестан</w:t>
            </w:r>
          </w:p>
        </w:tc>
        <w:tc>
          <w:tcPr>
            <w:tcW w:w="156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18 597 560,5</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22 223 301,57</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19,5%</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6 346,3</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7 543,5</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18,9%</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2 930 449,0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2 946 035,0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Республика Ингушетия</w:t>
            </w:r>
          </w:p>
        </w:tc>
        <w:tc>
          <w:tcPr>
            <w:tcW w:w="156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2 863 170,7</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2 799 249,37</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-2,2%</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6 650,9</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6 329,5</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-4,8%</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430 495,0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442 255,0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5</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Кабардино-Балкарская республика</w:t>
            </w:r>
          </w:p>
        </w:tc>
        <w:tc>
          <w:tcPr>
            <w:tcW w:w="156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10 205 677,8</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10 929 682,97</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7,1%</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11 880,0</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12 724,5</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7,1%</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859 063,0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858 946,0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6</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Карачаево-Черкесская республика</w:t>
            </w:r>
          </w:p>
        </w:tc>
        <w:tc>
          <w:tcPr>
            <w:tcW w:w="156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5 448 372,6</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5 649 959,25</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3,7%</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11 478,1</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11 974,1</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4,3%</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474 675,0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471 847,0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7</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Республика Северная Осетия</w:t>
            </w:r>
          </w:p>
        </w:tc>
        <w:tc>
          <w:tcPr>
            <w:tcW w:w="156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8 178 524,7</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9 209 000,94</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12,6%</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11 534,8</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13 041,6</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13,1%</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709 032,0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706 123,0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000000" w:fill="DAEEF3"/>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8</w:t>
            </w:r>
          </w:p>
        </w:tc>
        <w:tc>
          <w:tcPr>
            <w:tcW w:w="2489" w:type="dxa"/>
            <w:tcBorders>
              <w:top w:val="nil"/>
              <w:left w:val="nil"/>
              <w:bottom w:val="single" w:sz="4" w:space="0" w:color="auto"/>
              <w:right w:val="single" w:sz="4" w:space="0" w:color="auto"/>
            </w:tcBorders>
            <w:shd w:val="clear" w:color="000000" w:fill="DAEEF3"/>
            <w:vAlign w:val="center"/>
            <w:hideMark/>
          </w:tcPr>
          <w:p w:rsidR="006728A8" w:rsidRPr="00C65504" w:rsidRDefault="006728A8" w:rsidP="00C412D2">
            <w:pPr>
              <w:spacing w:after="0" w:line="240" w:lineRule="auto"/>
              <w:rPr>
                <w:rFonts w:ascii="Times New Roman" w:eastAsia="Times New Roman" w:hAnsi="Times New Roman" w:cs="Times New Roman"/>
                <w:sz w:val="20"/>
                <w:szCs w:val="20"/>
                <w:u w:val="single"/>
                <w:lang w:eastAsia="ru-RU"/>
              </w:rPr>
            </w:pPr>
            <w:r w:rsidRPr="00C65504">
              <w:rPr>
                <w:rFonts w:ascii="Times New Roman" w:eastAsia="Times New Roman" w:hAnsi="Times New Roman" w:cs="Times New Roman"/>
                <w:sz w:val="20"/>
                <w:szCs w:val="20"/>
                <w:u w:val="single"/>
                <w:lang w:eastAsia="ru-RU"/>
              </w:rPr>
              <w:t>Чеченская Республика</w:t>
            </w:r>
          </w:p>
        </w:tc>
        <w:tc>
          <w:tcPr>
            <w:tcW w:w="1560" w:type="dxa"/>
            <w:tcBorders>
              <w:top w:val="nil"/>
              <w:left w:val="nil"/>
              <w:bottom w:val="single" w:sz="4" w:space="0" w:color="auto"/>
              <w:right w:val="single" w:sz="4" w:space="0" w:color="auto"/>
            </w:tcBorders>
            <w:shd w:val="clear" w:color="000000" w:fill="DAEEF3"/>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10 354 369,1</w:t>
            </w:r>
          </w:p>
        </w:tc>
        <w:tc>
          <w:tcPr>
            <w:tcW w:w="1720" w:type="dxa"/>
            <w:tcBorders>
              <w:top w:val="nil"/>
              <w:left w:val="nil"/>
              <w:bottom w:val="single" w:sz="4" w:space="0" w:color="auto"/>
              <w:right w:val="single" w:sz="4" w:space="0" w:color="auto"/>
            </w:tcBorders>
            <w:shd w:val="clear" w:color="000000" w:fill="DAEEF3"/>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11 650 606,23</w:t>
            </w:r>
          </w:p>
        </w:tc>
        <w:tc>
          <w:tcPr>
            <w:tcW w:w="1484" w:type="dxa"/>
            <w:tcBorders>
              <w:top w:val="nil"/>
              <w:left w:val="nil"/>
              <w:bottom w:val="single" w:sz="4" w:space="0" w:color="auto"/>
              <w:right w:val="single" w:sz="4" w:space="0" w:color="auto"/>
            </w:tcBorders>
            <w:shd w:val="clear" w:color="000000" w:fill="DAEEF3"/>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12,5%</w:t>
            </w:r>
          </w:p>
        </w:tc>
        <w:tc>
          <w:tcPr>
            <w:tcW w:w="1473" w:type="dxa"/>
            <w:tcBorders>
              <w:top w:val="nil"/>
              <w:left w:val="nil"/>
              <w:bottom w:val="single" w:sz="4" w:space="0" w:color="auto"/>
              <w:right w:val="single" w:sz="4" w:space="0" w:color="auto"/>
            </w:tcBorders>
            <w:shd w:val="clear" w:color="000000" w:fill="DAEEF3"/>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7 951,7</w:t>
            </w:r>
          </w:p>
        </w:tc>
        <w:tc>
          <w:tcPr>
            <w:tcW w:w="1559" w:type="dxa"/>
            <w:tcBorders>
              <w:top w:val="nil"/>
              <w:left w:val="nil"/>
              <w:bottom w:val="single" w:sz="4" w:space="0" w:color="auto"/>
              <w:right w:val="single" w:sz="4" w:space="0" w:color="auto"/>
            </w:tcBorders>
            <w:shd w:val="clear" w:color="000000" w:fill="DAEEF3"/>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8 794,5</w:t>
            </w:r>
          </w:p>
        </w:tc>
        <w:tc>
          <w:tcPr>
            <w:tcW w:w="1484" w:type="dxa"/>
            <w:tcBorders>
              <w:top w:val="nil"/>
              <w:left w:val="nil"/>
              <w:bottom w:val="single" w:sz="4" w:space="0" w:color="auto"/>
              <w:right w:val="single" w:sz="4" w:space="0" w:color="auto"/>
            </w:tcBorders>
            <w:shd w:val="clear" w:color="000000" w:fill="DAEEF3"/>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10,6%</w:t>
            </w:r>
          </w:p>
        </w:tc>
        <w:tc>
          <w:tcPr>
            <w:tcW w:w="1493" w:type="dxa"/>
            <w:tcBorders>
              <w:top w:val="nil"/>
              <w:left w:val="nil"/>
              <w:bottom w:val="single" w:sz="4" w:space="0" w:color="auto"/>
              <w:right w:val="single" w:sz="4" w:space="0" w:color="auto"/>
            </w:tcBorders>
            <w:shd w:val="clear" w:color="000000" w:fill="DAEEF3"/>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1 302 165,0</w:t>
            </w:r>
          </w:p>
        </w:tc>
        <w:tc>
          <w:tcPr>
            <w:tcW w:w="1420" w:type="dxa"/>
            <w:tcBorders>
              <w:top w:val="nil"/>
              <w:left w:val="nil"/>
              <w:bottom w:val="single" w:sz="4" w:space="0" w:color="auto"/>
              <w:right w:val="single" w:sz="4" w:space="0" w:color="auto"/>
            </w:tcBorders>
            <w:shd w:val="clear" w:color="000000" w:fill="DAEEF3"/>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1 324 767,0</w:t>
            </w:r>
          </w:p>
        </w:tc>
      </w:tr>
      <w:tr w:rsidR="006728A8" w:rsidRPr="00C65504"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w:t>
            </w:r>
          </w:p>
        </w:tc>
        <w:tc>
          <w:tcPr>
            <w:tcW w:w="248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Ставропольский край</w:t>
            </w:r>
          </w:p>
        </w:tc>
        <w:tc>
          <w:tcPr>
            <w:tcW w:w="156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51 481 283,3</w:t>
            </w:r>
          </w:p>
        </w:tc>
        <w:tc>
          <w:tcPr>
            <w:tcW w:w="1720"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56 172 652,32</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9,1%</w:t>
            </w:r>
          </w:p>
        </w:tc>
        <w:tc>
          <w:tcPr>
            <w:tcW w:w="1473"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18 471,7</w:t>
            </w:r>
          </w:p>
        </w:tc>
        <w:tc>
          <w:tcPr>
            <w:tcW w:w="1559"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20 127,9</w:t>
            </w:r>
          </w:p>
        </w:tc>
        <w:tc>
          <w:tcPr>
            <w:tcW w:w="1484" w:type="dxa"/>
            <w:tcBorders>
              <w:top w:val="nil"/>
              <w:left w:val="nil"/>
              <w:bottom w:val="single" w:sz="4" w:space="0" w:color="auto"/>
              <w:right w:val="single" w:sz="4" w:space="0" w:color="auto"/>
            </w:tcBorders>
            <w:shd w:val="clear" w:color="auto" w:fill="auto"/>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9,0%</w:t>
            </w:r>
          </w:p>
        </w:tc>
        <w:tc>
          <w:tcPr>
            <w:tcW w:w="1493" w:type="dxa"/>
            <w:tcBorders>
              <w:top w:val="nil"/>
              <w:left w:val="nil"/>
              <w:bottom w:val="single" w:sz="4" w:space="0" w:color="auto"/>
              <w:right w:val="single" w:sz="4" w:space="0" w:color="auto"/>
            </w:tcBorders>
            <w:shd w:val="clear" w:color="auto" w:fill="auto"/>
            <w:noWrap/>
            <w:vAlign w:val="center"/>
            <w:hideMark/>
          </w:tcPr>
          <w:p w:rsidR="006728A8" w:rsidRPr="00C65504" w:rsidRDefault="006728A8" w:rsidP="00C412D2">
            <w:pPr>
              <w:spacing w:after="0" w:line="240" w:lineRule="auto"/>
              <w:jc w:val="center"/>
              <w:rPr>
                <w:rFonts w:ascii="Times New Roman" w:eastAsia="Times New Roman" w:hAnsi="Times New Roman" w:cs="Times New Roman"/>
                <w:sz w:val="20"/>
                <w:szCs w:val="20"/>
                <w:lang w:eastAsia="ru-RU"/>
              </w:rPr>
            </w:pPr>
            <w:r w:rsidRPr="00C65504">
              <w:rPr>
                <w:rFonts w:ascii="Times New Roman" w:eastAsia="Times New Roman" w:hAnsi="Times New Roman" w:cs="Times New Roman"/>
                <w:sz w:val="20"/>
                <w:szCs w:val="20"/>
                <w:lang w:eastAsia="ru-RU"/>
              </w:rPr>
              <w:t>2 787 030,0</w:t>
            </w:r>
          </w:p>
        </w:tc>
        <w:tc>
          <w:tcPr>
            <w:tcW w:w="1420" w:type="dxa"/>
            <w:tcBorders>
              <w:top w:val="nil"/>
              <w:left w:val="nil"/>
              <w:bottom w:val="single" w:sz="4" w:space="0" w:color="auto"/>
              <w:right w:val="single" w:sz="4" w:space="0" w:color="auto"/>
            </w:tcBorders>
            <w:shd w:val="clear" w:color="000000" w:fill="FFFFFF"/>
            <w:noWrap/>
            <w:vAlign w:val="center"/>
            <w:hideMark/>
          </w:tcPr>
          <w:p w:rsidR="006728A8" w:rsidRPr="00C65504" w:rsidRDefault="006728A8" w:rsidP="00C412D2">
            <w:pPr>
              <w:spacing w:after="0" w:line="240" w:lineRule="auto"/>
              <w:jc w:val="center"/>
              <w:rPr>
                <w:rFonts w:ascii="Times New Roman" w:eastAsia="Times New Roman" w:hAnsi="Times New Roman" w:cs="Times New Roman"/>
                <w:color w:val="000000"/>
                <w:sz w:val="20"/>
                <w:szCs w:val="20"/>
                <w:lang w:eastAsia="ru-RU"/>
              </w:rPr>
            </w:pPr>
            <w:r w:rsidRPr="00C65504">
              <w:rPr>
                <w:rFonts w:ascii="Times New Roman" w:eastAsia="Times New Roman" w:hAnsi="Times New Roman" w:cs="Times New Roman"/>
                <w:color w:val="000000"/>
                <w:sz w:val="20"/>
                <w:szCs w:val="20"/>
                <w:lang w:eastAsia="ru-RU"/>
              </w:rPr>
              <w:t>2 790 785,0</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C65504">
          <w:pgSz w:w="16838" w:h="11906" w:orient="landscape"/>
          <w:pgMar w:top="851" w:right="1134" w:bottom="1701" w:left="1134"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6B4A1FD5" wp14:editId="15B42B96">
            <wp:extent cx="6444343" cy="4299857"/>
            <wp:effectExtent l="0" t="0" r="0" b="571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3BF8E10D" wp14:editId="55DE751B">
            <wp:extent cx="6490010" cy="4192858"/>
            <wp:effectExtent l="0" t="0" r="635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C65504">
          <w:pgSz w:w="11906" w:h="16838"/>
          <w:pgMar w:top="1134" w:right="851" w:bottom="1134" w:left="1701"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p>
    <w:tbl>
      <w:tblPr>
        <w:tblW w:w="15183" w:type="dxa"/>
        <w:tblInd w:w="93" w:type="dxa"/>
        <w:tblLook w:val="04A0" w:firstRow="1" w:lastRow="0" w:firstColumn="1" w:lastColumn="0" w:noHBand="0" w:noVBand="1"/>
      </w:tblPr>
      <w:tblGrid>
        <w:gridCol w:w="503"/>
        <w:gridCol w:w="3120"/>
        <w:gridCol w:w="2629"/>
        <w:gridCol w:w="2397"/>
        <w:gridCol w:w="2405"/>
        <w:gridCol w:w="2083"/>
        <w:gridCol w:w="2046"/>
      </w:tblGrid>
      <w:tr w:rsidR="006728A8" w:rsidRPr="002D468F" w:rsidTr="00C412D2">
        <w:trPr>
          <w:trHeight w:val="300"/>
        </w:trPr>
        <w:tc>
          <w:tcPr>
            <w:tcW w:w="15183" w:type="dxa"/>
            <w:gridSpan w:val="7"/>
            <w:tcBorders>
              <w:top w:val="nil"/>
              <w:left w:val="nil"/>
              <w:bottom w:val="nil"/>
              <w:right w:val="nil"/>
            </w:tcBorders>
            <w:shd w:val="clear" w:color="auto" w:fill="auto"/>
            <w:noWrap/>
            <w:vAlign w:val="bottom"/>
            <w:hideMark/>
          </w:tcPr>
          <w:p w:rsidR="006728A8" w:rsidRPr="002D468F" w:rsidRDefault="006728A8" w:rsidP="00C412D2">
            <w:pPr>
              <w:spacing w:after="0" w:line="240" w:lineRule="auto"/>
              <w:jc w:val="center"/>
              <w:rPr>
                <w:rFonts w:ascii="Times New Roman" w:eastAsia="Times New Roman" w:hAnsi="Times New Roman" w:cs="Times New Roman"/>
                <w:b/>
                <w:bCs/>
                <w:color w:val="000000"/>
                <w:lang w:eastAsia="ru-RU"/>
              </w:rPr>
            </w:pPr>
            <w:r w:rsidRPr="002D468F">
              <w:rPr>
                <w:rFonts w:ascii="Times New Roman" w:eastAsia="Times New Roman" w:hAnsi="Times New Roman" w:cs="Times New Roman"/>
                <w:b/>
                <w:bCs/>
                <w:color w:val="000000"/>
                <w:lang w:eastAsia="ru-RU"/>
              </w:rPr>
              <w:t>Рейтинг субъектов РФ по сумме совокупных дотаций на одного жителя за 2012 год</w:t>
            </w:r>
          </w:p>
        </w:tc>
      </w:tr>
      <w:tr w:rsidR="006728A8" w:rsidRPr="002D468F" w:rsidTr="00C412D2">
        <w:trPr>
          <w:trHeight w:val="300"/>
        </w:trPr>
        <w:tc>
          <w:tcPr>
            <w:tcW w:w="503"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c>
          <w:tcPr>
            <w:tcW w:w="3120"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c>
          <w:tcPr>
            <w:tcW w:w="2629"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c>
          <w:tcPr>
            <w:tcW w:w="2397"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c>
          <w:tcPr>
            <w:tcW w:w="2405"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c>
          <w:tcPr>
            <w:tcW w:w="2083"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c>
          <w:tcPr>
            <w:tcW w:w="2046" w:type="dxa"/>
            <w:tcBorders>
              <w:top w:val="nil"/>
              <w:left w:val="nil"/>
              <w:bottom w:val="nil"/>
              <w:right w:val="nil"/>
            </w:tcBorders>
            <w:shd w:val="clear" w:color="auto" w:fill="auto"/>
            <w:noWrap/>
            <w:vAlign w:val="bottom"/>
            <w:hideMark/>
          </w:tcPr>
          <w:p w:rsidR="006728A8" w:rsidRPr="002D468F" w:rsidRDefault="006728A8" w:rsidP="00C412D2">
            <w:pPr>
              <w:spacing w:after="0" w:line="240" w:lineRule="auto"/>
              <w:rPr>
                <w:rFonts w:ascii="Calibri" w:eastAsia="Times New Roman" w:hAnsi="Calibri" w:cs="Calibri"/>
                <w:color w:val="000000"/>
                <w:lang w:eastAsia="ru-RU"/>
              </w:rPr>
            </w:pPr>
          </w:p>
        </w:tc>
      </w:tr>
      <w:tr w:rsidR="006728A8" w:rsidRPr="002D468F" w:rsidTr="00C412D2">
        <w:trPr>
          <w:trHeight w:val="2090"/>
        </w:trPr>
        <w:tc>
          <w:tcPr>
            <w:tcW w:w="503" w:type="dxa"/>
            <w:tcBorders>
              <w:top w:val="single" w:sz="4" w:space="0" w:color="auto"/>
              <w:left w:val="single" w:sz="4" w:space="0" w:color="auto"/>
              <w:bottom w:val="nil"/>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 xml:space="preserve">№ </w:t>
            </w:r>
            <w:proofErr w:type="gramStart"/>
            <w:r w:rsidRPr="002D468F">
              <w:rPr>
                <w:rFonts w:ascii="Times New Roman" w:eastAsia="Times New Roman" w:hAnsi="Times New Roman" w:cs="Times New Roman"/>
                <w:b/>
                <w:bCs/>
                <w:sz w:val="20"/>
                <w:szCs w:val="20"/>
                <w:lang w:eastAsia="ru-RU"/>
              </w:rPr>
              <w:t>п</w:t>
            </w:r>
            <w:proofErr w:type="gramEnd"/>
            <w:r w:rsidRPr="002D468F">
              <w:rPr>
                <w:rFonts w:ascii="Times New Roman" w:eastAsia="Times New Roman" w:hAnsi="Times New Roman" w:cs="Times New Roman"/>
                <w:b/>
                <w:bCs/>
                <w:sz w:val="20"/>
                <w:szCs w:val="20"/>
                <w:lang w:eastAsia="ru-RU"/>
              </w:rPr>
              <w:t>/п</w:t>
            </w:r>
          </w:p>
        </w:tc>
        <w:tc>
          <w:tcPr>
            <w:tcW w:w="3120" w:type="dxa"/>
            <w:tcBorders>
              <w:top w:val="single" w:sz="4" w:space="0" w:color="auto"/>
              <w:left w:val="nil"/>
              <w:bottom w:val="nil"/>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бюджет субъекта РФ</w:t>
            </w:r>
          </w:p>
        </w:tc>
        <w:tc>
          <w:tcPr>
            <w:tcW w:w="2629" w:type="dxa"/>
            <w:tcBorders>
              <w:top w:val="single" w:sz="4" w:space="0" w:color="auto"/>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sz w:val="16"/>
                <w:szCs w:val="16"/>
                <w:lang w:eastAsia="ru-RU"/>
              </w:rPr>
            </w:pPr>
            <w:r w:rsidRPr="002D468F">
              <w:rPr>
                <w:rFonts w:ascii="Times New Roman" w:eastAsia="Times New Roman" w:hAnsi="Times New Roman" w:cs="Times New Roman"/>
                <w:b/>
                <w:sz w:val="16"/>
                <w:szCs w:val="16"/>
                <w:lang w:eastAsia="ru-RU"/>
              </w:rPr>
              <w:t>010 *** 85000000000000000</w:t>
            </w:r>
            <w:r w:rsidRPr="002D468F">
              <w:rPr>
                <w:rFonts w:ascii="Times New Roman" w:eastAsia="Times New Roman" w:hAnsi="Times New Roman" w:cs="Times New Roman"/>
                <w:b/>
                <w:sz w:val="16"/>
                <w:szCs w:val="16"/>
                <w:lang w:eastAsia="ru-RU"/>
              </w:rPr>
              <w:br/>
              <w:t>Доходы бюджета - ИТОГО</w:t>
            </w:r>
            <w:r w:rsidRPr="002D468F">
              <w:rPr>
                <w:rFonts w:ascii="Times New Roman" w:eastAsia="Times New Roman" w:hAnsi="Times New Roman" w:cs="Times New Roman"/>
                <w:b/>
                <w:sz w:val="16"/>
                <w:szCs w:val="16"/>
                <w:lang w:eastAsia="ru-RU"/>
              </w:rPr>
              <w:br/>
              <w:t>руб.</w:t>
            </w:r>
          </w:p>
        </w:tc>
        <w:tc>
          <w:tcPr>
            <w:tcW w:w="2397" w:type="dxa"/>
            <w:tcBorders>
              <w:top w:val="single" w:sz="4" w:space="0" w:color="auto"/>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sz w:val="16"/>
                <w:szCs w:val="16"/>
                <w:lang w:eastAsia="ru-RU"/>
              </w:rPr>
            </w:pPr>
            <w:r w:rsidRPr="002D468F">
              <w:rPr>
                <w:rFonts w:ascii="Times New Roman" w:eastAsia="Times New Roman" w:hAnsi="Times New Roman" w:cs="Times New Roman"/>
                <w:b/>
                <w:sz w:val="16"/>
                <w:szCs w:val="16"/>
                <w:lang w:eastAsia="ru-RU"/>
              </w:rPr>
              <w:t>010 000 20201000000000151</w:t>
            </w:r>
            <w:r w:rsidRPr="002D468F">
              <w:rPr>
                <w:rFonts w:ascii="Times New Roman" w:eastAsia="Times New Roman" w:hAnsi="Times New Roman" w:cs="Times New Roman"/>
                <w:b/>
                <w:sz w:val="16"/>
                <w:szCs w:val="16"/>
                <w:lang w:eastAsia="ru-RU"/>
              </w:rPr>
              <w:br/>
              <w:t>Дотации бюджетам субъектов Российской Федерации и муниципальных образований</w:t>
            </w:r>
            <w:r w:rsidRPr="002D468F">
              <w:rPr>
                <w:rFonts w:ascii="Times New Roman" w:eastAsia="Times New Roman" w:hAnsi="Times New Roman" w:cs="Times New Roman"/>
                <w:b/>
                <w:sz w:val="16"/>
                <w:szCs w:val="16"/>
                <w:lang w:eastAsia="ru-RU"/>
              </w:rPr>
              <w:br/>
              <w:t>руб.</w:t>
            </w:r>
          </w:p>
        </w:tc>
        <w:tc>
          <w:tcPr>
            <w:tcW w:w="2405" w:type="dxa"/>
            <w:tcBorders>
              <w:top w:val="single" w:sz="4" w:space="0" w:color="auto"/>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sz w:val="16"/>
                <w:szCs w:val="16"/>
                <w:lang w:eastAsia="ru-RU"/>
              </w:rPr>
            </w:pPr>
            <w:r w:rsidRPr="002D468F">
              <w:rPr>
                <w:rFonts w:ascii="Times New Roman" w:eastAsia="Times New Roman" w:hAnsi="Times New Roman" w:cs="Times New Roman"/>
                <w:b/>
                <w:sz w:val="16"/>
                <w:szCs w:val="16"/>
                <w:lang w:eastAsia="ru-RU"/>
              </w:rPr>
              <w:t>Удельный вес дотаций в структуре бюджетов субъектов РФ</w:t>
            </w:r>
            <w:r w:rsidRPr="002D468F">
              <w:rPr>
                <w:rFonts w:ascii="Times New Roman" w:eastAsia="Times New Roman" w:hAnsi="Times New Roman" w:cs="Times New Roman"/>
                <w:b/>
                <w:sz w:val="16"/>
                <w:szCs w:val="16"/>
                <w:lang w:eastAsia="ru-RU"/>
              </w:rPr>
              <w:br/>
              <w:t>%</w:t>
            </w:r>
          </w:p>
        </w:tc>
        <w:tc>
          <w:tcPr>
            <w:tcW w:w="2083" w:type="dxa"/>
            <w:tcBorders>
              <w:top w:val="single" w:sz="4" w:space="0" w:color="auto"/>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sz w:val="16"/>
                <w:szCs w:val="16"/>
                <w:lang w:eastAsia="ru-RU"/>
              </w:rPr>
            </w:pPr>
            <w:r w:rsidRPr="002D468F">
              <w:rPr>
                <w:rFonts w:ascii="Times New Roman" w:eastAsia="Times New Roman" w:hAnsi="Times New Roman" w:cs="Times New Roman"/>
                <w:b/>
                <w:sz w:val="16"/>
                <w:szCs w:val="16"/>
                <w:lang w:eastAsia="ru-RU"/>
              </w:rPr>
              <w:t>Численность населения на 01.01.2013г.</w:t>
            </w:r>
            <w:r w:rsidRPr="002D468F">
              <w:rPr>
                <w:rFonts w:ascii="Times New Roman" w:eastAsia="Times New Roman" w:hAnsi="Times New Roman" w:cs="Times New Roman"/>
                <w:b/>
                <w:sz w:val="16"/>
                <w:szCs w:val="16"/>
                <w:lang w:eastAsia="ru-RU"/>
              </w:rPr>
              <w:br/>
              <w:t>чел.</w:t>
            </w:r>
          </w:p>
        </w:tc>
        <w:tc>
          <w:tcPr>
            <w:tcW w:w="2046" w:type="dxa"/>
            <w:tcBorders>
              <w:top w:val="single" w:sz="4" w:space="0" w:color="auto"/>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16"/>
                <w:szCs w:val="16"/>
                <w:lang w:eastAsia="ru-RU"/>
              </w:rPr>
            </w:pPr>
            <w:r w:rsidRPr="002D468F">
              <w:rPr>
                <w:rFonts w:ascii="Times New Roman" w:eastAsia="Times New Roman" w:hAnsi="Times New Roman" w:cs="Times New Roman"/>
                <w:b/>
                <w:bCs/>
                <w:sz w:val="16"/>
                <w:szCs w:val="16"/>
                <w:lang w:eastAsia="ru-RU"/>
              </w:rPr>
              <w:t>Сумма дотаций в расчете на одного жителя</w:t>
            </w:r>
            <w:r w:rsidRPr="002D468F">
              <w:rPr>
                <w:rFonts w:ascii="Times New Roman" w:eastAsia="Times New Roman" w:hAnsi="Times New Roman" w:cs="Times New Roman"/>
                <w:b/>
                <w:bCs/>
                <w:sz w:val="16"/>
                <w:szCs w:val="16"/>
                <w:lang w:eastAsia="ru-RU"/>
              </w:rPr>
              <w:br/>
              <w:t>руб.</w:t>
            </w:r>
          </w:p>
        </w:tc>
      </w:tr>
      <w:tr w:rsidR="006728A8" w:rsidRPr="002D468F" w:rsidTr="00C412D2">
        <w:trPr>
          <w:trHeight w:val="567"/>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Камчатский край</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47 042 443 037,12</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30 349 698 200,00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64,52</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320 549,00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94 680,37</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2</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Чукотский автономный округ</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15 006 926 894,74</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3 018 022 900,00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20,11</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50 780,00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59 433,30</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Магаданская область</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22 684 762 702,14</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8 285 064 000,00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36,52</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152 358,00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54 378,92</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Республика Саха (Якутия)</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125 950 561 840,21</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44 907 401 300,00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35,65</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955 580,00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46 994,92</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5</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Республика Тыва</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19 708 062 479,80</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10 027 804 600,00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50,88</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310 460,00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32 299,83</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000000" w:fill="C5D9F1"/>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6</w:t>
            </w:r>
          </w:p>
        </w:tc>
        <w:tc>
          <w:tcPr>
            <w:tcW w:w="3120" w:type="dxa"/>
            <w:tcBorders>
              <w:top w:val="nil"/>
              <w:left w:val="nil"/>
              <w:bottom w:val="single" w:sz="4" w:space="0" w:color="auto"/>
              <w:right w:val="single" w:sz="4" w:space="0" w:color="auto"/>
            </w:tcBorders>
            <w:shd w:val="clear" w:color="000000" w:fill="C5D9F1"/>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Чеченская Республика</w:t>
            </w:r>
          </w:p>
        </w:tc>
        <w:tc>
          <w:tcPr>
            <w:tcW w:w="2629" w:type="dxa"/>
            <w:tcBorders>
              <w:top w:val="nil"/>
              <w:left w:val="nil"/>
              <w:bottom w:val="single" w:sz="4" w:space="0" w:color="auto"/>
              <w:right w:val="single" w:sz="4" w:space="0" w:color="auto"/>
            </w:tcBorders>
            <w:shd w:val="clear" w:color="000000" w:fill="C5D9F1"/>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74 267 714 291,73</w:t>
            </w:r>
          </w:p>
        </w:tc>
        <w:tc>
          <w:tcPr>
            <w:tcW w:w="2397" w:type="dxa"/>
            <w:tcBorders>
              <w:top w:val="nil"/>
              <w:left w:val="nil"/>
              <w:bottom w:val="single" w:sz="4" w:space="0" w:color="auto"/>
              <w:right w:val="single" w:sz="4" w:space="0" w:color="auto"/>
            </w:tcBorders>
            <w:shd w:val="clear" w:color="000000" w:fill="C5D9F1"/>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41 627 931 800,00</w:t>
            </w:r>
          </w:p>
        </w:tc>
        <w:tc>
          <w:tcPr>
            <w:tcW w:w="2405" w:type="dxa"/>
            <w:tcBorders>
              <w:top w:val="nil"/>
              <w:left w:val="nil"/>
              <w:bottom w:val="single" w:sz="4" w:space="0" w:color="auto"/>
              <w:right w:val="single" w:sz="4" w:space="0" w:color="auto"/>
            </w:tcBorders>
            <w:shd w:val="clear" w:color="000000" w:fill="C5D9F1"/>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56,05</w:t>
            </w:r>
          </w:p>
        </w:tc>
        <w:tc>
          <w:tcPr>
            <w:tcW w:w="2083" w:type="dxa"/>
            <w:tcBorders>
              <w:top w:val="nil"/>
              <w:left w:val="nil"/>
              <w:bottom w:val="single" w:sz="4" w:space="0" w:color="auto"/>
              <w:right w:val="single" w:sz="4" w:space="0" w:color="auto"/>
            </w:tcBorders>
            <w:shd w:val="clear" w:color="000000" w:fill="C5D9F1"/>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1 324 767,00</w:t>
            </w:r>
          </w:p>
        </w:tc>
        <w:tc>
          <w:tcPr>
            <w:tcW w:w="2046" w:type="dxa"/>
            <w:tcBorders>
              <w:top w:val="nil"/>
              <w:left w:val="nil"/>
              <w:bottom w:val="single" w:sz="4" w:space="0" w:color="auto"/>
              <w:right w:val="single" w:sz="4" w:space="0" w:color="auto"/>
            </w:tcBorders>
            <w:shd w:val="clear" w:color="000000" w:fill="C5D9F1"/>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31 422,83</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7</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Республика Алтай</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12 252 654 373,10</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6 311 738 300,00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51,51</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210 344,00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30 006,74</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8</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Республика Ингушетия</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19 986 612 350,28</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8 320 817 900,00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41,63</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442 255,00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18 814,53</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9</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Карачаево-Черкесская Республика</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19 073 006 943,96</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7 791 650 200,00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40,85</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471 847,00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16 513,09</w:t>
            </w:r>
          </w:p>
        </w:tc>
      </w:tr>
      <w:tr w:rsidR="006728A8" w:rsidRPr="002D468F" w:rsidTr="00C412D2">
        <w:trPr>
          <w:trHeight w:val="567"/>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10</w:t>
            </w:r>
          </w:p>
        </w:tc>
        <w:tc>
          <w:tcPr>
            <w:tcW w:w="3120" w:type="dxa"/>
            <w:tcBorders>
              <w:top w:val="nil"/>
              <w:left w:val="nil"/>
              <w:bottom w:val="single" w:sz="4" w:space="0" w:color="auto"/>
              <w:right w:val="single" w:sz="4" w:space="0" w:color="auto"/>
            </w:tcBorders>
            <w:shd w:val="clear" w:color="auto" w:fill="auto"/>
            <w:vAlign w:val="center"/>
            <w:hideMark/>
          </w:tcPr>
          <w:p w:rsidR="006728A8" w:rsidRPr="002D468F" w:rsidRDefault="006728A8" w:rsidP="00C412D2">
            <w:pPr>
              <w:spacing w:after="0" w:line="240" w:lineRule="auto"/>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Республика Бурятия</w:t>
            </w:r>
          </w:p>
        </w:tc>
        <w:tc>
          <w:tcPr>
            <w:tcW w:w="2629"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40 681 960 467,12</w:t>
            </w:r>
          </w:p>
        </w:tc>
        <w:tc>
          <w:tcPr>
            <w:tcW w:w="2397"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13 063 464 200,00</w:t>
            </w:r>
          </w:p>
        </w:tc>
        <w:tc>
          <w:tcPr>
            <w:tcW w:w="2405"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32,11</w:t>
            </w:r>
          </w:p>
        </w:tc>
        <w:tc>
          <w:tcPr>
            <w:tcW w:w="2083"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sz w:val="20"/>
                <w:szCs w:val="20"/>
                <w:lang w:eastAsia="ru-RU"/>
              </w:rPr>
            </w:pPr>
            <w:r w:rsidRPr="002D468F">
              <w:rPr>
                <w:rFonts w:ascii="Times New Roman" w:eastAsia="Times New Roman" w:hAnsi="Times New Roman" w:cs="Times New Roman"/>
                <w:sz w:val="20"/>
                <w:szCs w:val="20"/>
                <w:lang w:eastAsia="ru-RU"/>
              </w:rPr>
              <w:t>971 810,00</w:t>
            </w:r>
          </w:p>
        </w:tc>
        <w:tc>
          <w:tcPr>
            <w:tcW w:w="2046" w:type="dxa"/>
            <w:tcBorders>
              <w:top w:val="nil"/>
              <w:left w:val="nil"/>
              <w:bottom w:val="single" w:sz="4" w:space="0" w:color="auto"/>
              <w:right w:val="single" w:sz="4" w:space="0" w:color="auto"/>
            </w:tcBorders>
            <w:shd w:val="clear" w:color="auto" w:fill="auto"/>
            <w:noWrap/>
            <w:vAlign w:val="center"/>
            <w:hideMark/>
          </w:tcPr>
          <w:p w:rsidR="006728A8" w:rsidRPr="002D468F" w:rsidRDefault="006728A8" w:rsidP="00C412D2">
            <w:pPr>
              <w:spacing w:after="0" w:line="240" w:lineRule="auto"/>
              <w:jc w:val="center"/>
              <w:rPr>
                <w:rFonts w:ascii="Times New Roman" w:eastAsia="Times New Roman" w:hAnsi="Times New Roman" w:cs="Times New Roman"/>
                <w:b/>
                <w:bCs/>
                <w:sz w:val="20"/>
                <w:szCs w:val="20"/>
                <w:lang w:eastAsia="ru-RU"/>
              </w:rPr>
            </w:pPr>
            <w:r w:rsidRPr="002D468F">
              <w:rPr>
                <w:rFonts w:ascii="Times New Roman" w:eastAsia="Times New Roman" w:hAnsi="Times New Roman" w:cs="Times New Roman"/>
                <w:b/>
                <w:bCs/>
                <w:sz w:val="20"/>
                <w:szCs w:val="20"/>
                <w:lang w:eastAsia="ru-RU"/>
              </w:rPr>
              <w:t>13 442,41</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2D468F">
          <w:pgSz w:w="16838" w:h="11906" w:orient="landscape"/>
          <w:pgMar w:top="851" w:right="1134" w:bottom="1701" w:left="1134"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523F6E4A" wp14:editId="6676F2C9">
            <wp:extent cx="6498076" cy="442608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7C4CE40E" wp14:editId="2CD5E187">
            <wp:extent cx="6433168" cy="4272595"/>
            <wp:effectExtent l="0" t="0" r="635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sectPr w:rsidR="006728A8" w:rsidSect="0071356B">
          <w:pgSz w:w="11906" w:h="16838"/>
          <w:pgMar w:top="1134" w:right="851" w:bottom="1134" w:left="1701"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tbl>
      <w:tblPr>
        <w:tblW w:w="14800" w:type="dxa"/>
        <w:tblInd w:w="93" w:type="dxa"/>
        <w:tblLook w:val="04A0" w:firstRow="1" w:lastRow="0" w:firstColumn="1" w:lastColumn="0" w:noHBand="0" w:noVBand="1"/>
      </w:tblPr>
      <w:tblGrid>
        <w:gridCol w:w="503"/>
        <w:gridCol w:w="4360"/>
        <w:gridCol w:w="2120"/>
        <w:gridCol w:w="2120"/>
        <w:gridCol w:w="1840"/>
        <w:gridCol w:w="2120"/>
        <w:gridCol w:w="2140"/>
      </w:tblGrid>
      <w:tr w:rsidR="006728A8" w:rsidRPr="00D5254D" w:rsidTr="00C412D2">
        <w:trPr>
          <w:trHeight w:val="255"/>
        </w:trPr>
        <w:tc>
          <w:tcPr>
            <w:tcW w:w="14800" w:type="dxa"/>
            <w:gridSpan w:val="7"/>
            <w:tcBorders>
              <w:top w:val="nil"/>
              <w:left w:val="nil"/>
              <w:bottom w:val="nil"/>
              <w:right w:val="nil"/>
            </w:tcBorders>
            <w:shd w:val="clear" w:color="auto" w:fill="auto"/>
            <w:noWrap/>
            <w:vAlign w:val="bottom"/>
            <w:hideMark/>
          </w:tcPr>
          <w:p w:rsidR="006728A8" w:rsidRPr="00D5254D" w:rsidRDefault="006728A8" w:rsidP="00C412D2">
            <w:pPr>
              <w:spacing w:after="0" w:line="240" w:lineRule="auto"/>
              <w:jc w:val="center"/>
              <w:rPr>
                <w:rFonts w:ascii="Times New Roman" w:eastAsia="Times New Roman" w:hAnsi="Times New Roman" w:cs="Times New Roman"/>
                <w:b/>
                <w:bCs/>
                <w:sz w:val="24"/>
                <w:szCs w:val="24"/>
                <w:lang w:eastAsia="ru-RU"/>
              </w:rPr>
            </w:pPr>
            <w:r w:rsidRPr="00D5254D">
              <w:rPr>
                <w:rFonts w:ascii="Times New Roman" w:eastAsia="Times New Roman" w:hAnsi="Times New Roman" w:cs="Times New Roman"/>
                <w:b/>
                <w:bCs/>
                <w:sz w:val="24"/>
                <w:szCs w:val="24"/>
                <w:lang w:eastAsia="ru-RU"/>
              </w:rPr>
              <w:t>Кассовое исполнение бюджетов субъектов СКФО по расходам за 2012 год</w:t>
            </w:r>
          </w:p>
        </w:tc>
      </w:tr>
      <w:tr w:rsidR="006728A8" w:rsidRPr="00D5254D" w:rsidTr="00C412D2">
        <w:trPr>
          <w:trHeight w:val="255"/>
        </w:trPr>
        <w:tc>
          <w:tcPr>
            <w:tcW w:w="40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c>
          <w:tcPr>
            <w:tcW w:w="436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c>
          <w:tcPr>
            <w:tcW w:w="196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c>
          <w:tcPr>
            <w:tcW w:w="204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c>
          <w:tcPr>
            <w:tcW w:w="206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p>
        </w:tc>
      </w:tr>
      <w:tr w:rsidR="006728A8" w:rsidRPr="00D5254D" w:rsidTr="00C412D2">
        <w:trPr>
          <w:trHeight w:val="1290"/>
        </w:trPr>
        <w:tc>
          <w:tcPr>
            <w:tcW w:w="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 xml:space="preserve">№ </w:t>
            </w:r>
            <w:proofErr w:type="gramStart"/>
            <w:r w:rsidRPr="00D5254D">
              <w:rPr>
                <w:rFonts w:ascii="Times New Roman" w:eastAsia="Times New Roman" w:hAnsi="Times New Roman" w:cs="Times New Roman"/>
                <w:b/>
                <w:bCs/>
                <w:sz w:val="20"/>
                <w:szCs w:val="20"/>
                <w:lang w:eastAsia="ru-RU"/>
              </w:rPr>
              <w:t>п</w:t>
            </w:r>
            <w:proofErr w:type="gramEnd"/>
            <w:r w:rsidRPr="00D5254D">
              <w:rPr>
                <w:rFonts w:ascii="Times New Roman" w:eastAsia="Times New Roman" w:hAnsi="Times New Roman" w:cs="Times New Roman"/>
                <w:b/>
                <w:bCs/>
                <w:sz w:val="20"/>
                <w:szCs w:val="20"/>
                <w:lang w:eastAsia="ru-RU"/>
              </w:rPr>
              <w:t>/п</w:t>
            </w:r>
          </w:p>
        </w:tc>
        <w:tc>
          <w:tcPr>
            <w:tcW w:w="4360" w:type="dxa"/>
            <w:tcBorders>
              <w:top w:val="single" w:sz="4" w:space="0" w:color="auto"/>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Наименование субъекта РФ</w:t>
            </w:r>
          </w:p>
        </w:tc>
        <w:tc>
          <w:tcPr>
            <w:tcW w:w="1960" w:type="dxa"/>
            <w:tcBorders>
              <w:top w:val="single" w:sz="4" w:space="0" w:color="auto"/>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Расходы конс</w:t>
            </w:r>
            <w:r>
              <w:rPr>
                <w:rFonts w:ascii="Times New Roman" w:eastAsia="Times New Roman" w:hAnsi="Times New Roman" w:cs="Times New Roman"/>
                <w:b/>
                <w:bCs/>
                <w:sz w:val="20"/>
                <w:szCs w:val="20"/>
                <w:lang w:eastAsia="ru-RU"/>
              </w:rPr>
              <w:t>олидирован</w:t>
            </w:r>
            <w:r w:rsidRPr="00D5254D">
              <w:rPr>
                <w:rFonts w:ascii="Times New Roman" w:eastAsia="Times New Roman" w:hAnsi="Times New Roman" w:cs="Times New Roman"/>
                <w:b/>
                <w:bCs/>
                <w:sz w:val="20"/>
                <w:szCs w:val="20"/>
                <w:lang w:eastAsia="ru-RU"/>
              </w:rPr>
              <w:t xml:space="preserve">ного бюджета 2011 год, </w:t>
            </w:r>
            <w:r w:rsidRPr="00D5254D">
              <w:rPr>
                <w:rFonts w:ascii="Times New Roman" w:eastAsia="Times New Roman" w:hAnsi="Times New Roman" w:cs="Times New Roman"/>
                <w:b/>
                <w:bCs/>
                <w:sz w:val="20"/>
                <w:szCs w:val="20"/>
                <w:lang w:eastAsia="ru-RU"/>
              </w:rPr>
              <w:br/>
              <w:t>тыс. руб.</w:t>
            </w:r>
          </w:p>
        </w:tc>
        <w:tc>
          <w:tcPr>
            <w:tcW w:w="2040" w:type="dxa"/>
            <w:tcBorders>
              <w:top w:val="single" w:sz="4" w:space="0" w:color="auto"/>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Расходы конс</w:t>
            </w:r>
            <w:r>
              <w:rPr>
                <w:rFonts w:ascii="Times New Roman" w:eastAsia="Times New Roman" w:hAnsi="Times New Roman" w:cs="Times New Roman"/>
                <w:b/>
                <w:bCs/>
                <w:sz w:val="20"/>
                <w:szCs w:val="20"/>
                <w:lang w:eastAsia="ru-RU"/>
              </w:rPr>
              <w:t>олидирован</w:t>
            </w:r>
            <w:r w:rsidRPr="00D5254D">
              <w:rPr>
                <w:rFonts w:ascii="Times New Roman" w:eastAsia="Times New Roman" w:hAnsi="Times New Roman" w:cs="Times New Roman"/>
                <w:b/>
                <w:bCs/>
                <w:sz w:val="20"/>
                <w:szCs w:val="20"/>
                <w:lang w:eastAsia="ru-RU"/>
              </w:rPr>
              <w:t xml:space="preserve">ного бюджета 2012 год, </w:t>
            </w:r>
            <w:r w:rsidRPr="00D5254D">
              <w:rPr>
                <w:rFonts w:ascii="Times New Roman" w:eastAsia="Times New Roman" w:hAnsi="Times New Roman" w:cs="Times New Roman"/>
                <w:b/>
                <w:bCs/>
                <w:sz w:val="20"/>
                <w:szCs w:val="20"/>
                <w:lang w:eastAsia="ru-RU"/>
              </w:rPr>
              <w:br/>
              <w:t>тыс. руб.</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Темп роста расходов</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Расходы конс</w:t>
            </w:r>
            <w:r>
              <w:rPr>
                <w:rFonts w:ascii="Times New Roman" w:eastAsia="Times New Roman" w:hAnsi="Times New Roman" w:cs="Times New Roman"/>
                <w:b/>
                <w:bCs/>
                <w:sz w:val="20"/>
                <w:szCs w:val="20"/>
                <w:lang w:eastAsia="ru-RU"/>
              </w:rPr>
              <w:t>олидирован</w:t>
            </w:r>
            <w:r w:rsidRPr="00D5254D">
              <w:rPr>
                <w:rFonts w:ascii="Times New Roman" w:eastAsia="Times New Roman" w:hAnsi="Times New Roman" w:cs="Times New Roman"/>
                <w:b/>
                <w:bCs/>
                <w:sz w:val="20"/>
                <w:szCs w:val="20"/>
                <w:lang w:eastAsia="ru-RU"/>
              </w:rPr>
              <w:t>ного бюджетов в расчете на душу населения,</w:t>
            </w:r>
            <w:r w:rsidRPr="00D5254D">
              <w:rPr>
                <w:rFonts w:ascii="Times New Roman" w:eastAsia="Times New Roman" w:hAnsi="Times New Roman" w:cs="Times New Roman"/>
                <w:b/>
                <w:bCs/>
                <w:sz w:val="20"/>
                <w:szCs w:val="20"/>
                <w:lang w:eastAsia="ru-RU"/>
              </w:rPr>
              <w:br/>
              <w:t xml:space="preserve"> руб.</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b/>
                <w:bCs/>
                <w:sz w:val="20"/>
                <w:szCs w:val="20"/>
                <w:lang w:eastAsia="ru-RU"/>
              </w:rPr>
            </w:pPr>
            <w:r w:rsidRPr="00D5254D">
              <w:rPr>
                <w:rFonts w:ascii="Times New Roman" w:eastAsia="Times New Roman" w:hAnsi="Times New Roman" w:cs="Times New Roman"/>
                <w:b/>
                <w:bCs/>
                <w:sz w:val="20"/>
                <w:szCs w:val="20"/>
                <w:lang w:eastAsia="ru-RU"/>
              </w:rPr>
              <w:t xml:space="preserve">Численность населения на 01.01.2013 г., </w:t>
            </w:r>
            <w:r w:rsidRPr="00D5254D">
              <w:rPr>
                <w:rFonts w:ascii="Times New Roman" w:eastAsia="Times New Roman" w:hAnsi="Times New Roman" w:cs="Times New Roman"/>
                <w:b/>
                <w:bCs/>
                <w:sz w:val="20"/>
                <w:szCs w:val="20"/>
                <w:lang w:eastAsia="ru-RU"/>
              </w:rPr>
              <w:br/>
              <w:t>чел.</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В целом по СКФО</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319 141 564,84</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338 355 505,12</w:t>
            </w:r>
          </w:p>
        </w:tc>
        <w:tc>
          <w:tcPr>
            <w:tcW w:w="184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106,0%</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35 464,2</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9 540 758,00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Республика Дагестан</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75 070 571,05</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81 105 736,82</w:t>
            </w:r>
          </w:p>
        </w:tc>
        <w:tc>
          <w:tcPr>
            <w:tcW w:w="18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108,0%</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27 530,5</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2 946 035,00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3</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Республика Ингушетия</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17 027 510,46</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20 661 548,15</w:t>
            </w:r>
          </w:p>
        </w:tc>
        <w:tc>
          <w:tcPr>
            <w:tcW w:w="18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121,3%</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46 718,6</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442 255,00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4</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Кабардино-Балкарская республика</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25 091 393,04</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24 963 594,63</w:t>
            </w:r>
          </w:p>
        </w:tc>
        <w:tc>
          <w:tcPr>
            <w:tcW w:w="18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99,5%</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29 063,1</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858 946,00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5</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Карачаево-Черкесская республика</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15 940 361,70</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20 607 321,22</w:t>
            </w:r>
          </w:p>
        </w:tc>
        <w:tc>
          <w:tcPr>
            <w:tcW w:w="18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129,3%</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43 673,7</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471 847,00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6</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Республика Северная Осетия</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21 228 736,61</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21 905 465,91</w:t>
            </w:r>
          </w:p>
        </w:tc>
        <w:tc>
          <w:tcPr>
            <w:tcW w:w="18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103,2%</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31 022,2</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706 123,00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000000" w:fill="D8E4BC"/>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7</w:t>
            </w:r>
          </w:p>
        </w:tc>
        <w:tc>
          <w:tcPr>
            <w:tcW w:w="4360" w:type="dxa"/>
            <w:tcBorders>
              <w:top w:val="nil"/>
              <w:left w:val="nil"/>
              <w:bottom w:val="single" w:sz="4" w:space="0" w:color="auto"/>
              <w:right w:val="single" w:sz="4" w:space="0" w:color="auto"/>
            </w:tcBorders>
            <w:shd w:val="clear" w:color="000000" w:fill="D8E4BC"/>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Чеченская Республика*</w:t>
            </w:r>
          </w:p>
        </w:tc>
        <w:tc>
          <w:tcPr>
            <w:tcW w:w="1960" w:type="dxa"/>
            <w:tcBorders>
              <w:top w:val="nil"/>
              <w:left w:val="nil"/>
              <w:bottom w:val="single" w:sz="4" w:space="0" w:color="auto"/>
              <w:right w:val="single" w:sz="4" w:space="0" w:color="auto"/>
            </w:tcBorders>
            <w:shd w:val="clear" w:color="000000" w:fill="D8E4BC"/>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80 791 844,32</w:t>
            </w:r>
          </w:p>
        </w:tc>
        <w:tc>
          <w:tcPr>
            <w:tcW w:w="2040" w:type="dxa"/>
            <w:tcBorders>
              <w:top w:val="nil"/>
              <w:left w:val="nil"/>
              <w:bottom w:val="single" w:sz="4" w:space="0" w:color="auto"/>
              <w:right w:val="single" w:sz="4" w:space="0" w:color="auto"/>
            </w:tcBorders>
            <w:shd w:val="clear" w:color="000000" w:fill="D8E4BC"/>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77 531 881,52</w:t>
            </w:r>
          </w:p>
        </w:tc>
        <w:tc>
          <w:tcPr>
            <w:tcW w:w="1840" w:type="dxa"/>
            <w:tcBorders>
              <w:top w:val="nil"/>
              <w:left w:val="nil"/>
              <w:bottom w:val="single" w:sz="4" w:space="0" w:color="auto"/>
              <w:right w:val="single" w:sz="4" w:space="0" w:color="auto"/>
            </w:tcBorders>
            <w:shd w:val="clear" w:color="000000" w:fill="D8E4BC"/>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96,0%</w:t>
            </w:r>
          </w:p>
        </w:tc>
        <w:tc>
          <w:tcPr>
            <w:tcW w:w="2060" w:type="dxa"/>
            <w:tcBorders>
              <w:top w:val="nil"/>
              <w:left w:val="nil"/>
              <w:bottom w:val="single" w:sz="4" w:space="0" w:color="auto"/>
              <w:right w:val="single" w:sz="4" w:space="0" w:color="auto"/>
            </w:tcBorders>
            <w:shd w:val="clear" w:color="000000" w:fill="D8E4BC"/>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58 524,9</w:t>
            </w:r>
          </w:p>
        </w:tc>
        <w:tc>
          <w:tcPr>
            <w:tcW w:w="2140" w:type="dxa"/>
            <w:tcBorders>
              <w:top w:val="nil"/>
              <w:left w:val="nil"/>
              <w:bottom w:val="single" w:sz="4" w:space="0" w:color="auto"/>
              <w:right w:val="single" w:sz="4" w:space="0" w:color="auto"/>
            </w:tcBorders>
            <w:shd w:val="clear" w:color="000000" w:fill="D8E4BC"/>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1 324 767,00</w:t>
            </w:r>
          </w:p>
        </w:tc>
      </w:tr>
      <w:tr w:rsidR="006728A8" w:rsidRPr="00D5254D" w:rsidTr="00C412D2">
        <w:trPr>
          <w:trHeight w:val="567"/>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8</w:t>
            </w:r>
          </w:p>
        </w:tc>
        <w:tc>
          <w:tcPr>
            <w:tcW w:w="43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Ставропольский край</w:t>
            </w:r>
          </w:p>
        </w:tc>
        <w:tc>
          <w:tcPr>
            <w:tcW w:w="196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83 991 147,67</w:t>
            </w:r>
          </w:p>
        </w:tc>
        <w:tc>
          <w:tcPr>
            <w:tcW w:w="20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91 579 956,86</w:t>
            </w:r>
          </w:p>
        </w:tc>
        <w:tc>
          <w:tcPr>
            <w:tcW w:w="18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109,0%</w:t>
            </w:r>
          </w:p>
        </w:tc>
        <w:tc>
          <w:tcPr>
            <w:tcW w:w="2060" w:type="dxa"/>
            <w:tcBorders>
              <w:top w:val="nil"/>
              <w:left w:val="nil"/>
              <w:bottom w:val="single" w:sz="4" w:space="0" w:color="auto"/>
              <w:right w:val="single" w:sz="4" w:space="0" w:color="auto"/>
            </w:tcBorders>
            <w:shd w:val="clear" w:color="auto" w:fill="auto"/>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32 815,1</w:t>
            </w:r>
          </w:p>
        </w:tc>
        <w:tc>
          <w:tcPr>
            <w:tcW w:w="2140" w:type="dxa"/>
            <w:tcBorders>
              <w:top w:val="nil"/>
              <w:left w:val="nil"/>
              <w:bottom w:val="single" w:sz="4" w:space="0" w:color="auto"/>
              <w:right w:val="single" w:sz="4" w:space="0" w:color="auto"/>
            </w:tcBorders>
            <w:shd w:val="clear" w:color="auto" w:fill="auto"/>
            <w:noWrap/>
            <w:vAlign w:val="center"/>
            <w:hideMark/>
          </w:tcPr>
          <w:p w:rsidR="006728A8" w:rsidRPr="00D5254D" w:rsidRDefault="006728A8" w:rsidP="00C412D2">
            <w:pPr>
              <w:spacing w:after="0" w:line="240" w:lineRule="auto"/>
              <w:jc w:val="center"/>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2 790 785,00</w:t>
            </w:r>
          </w:p>
        </w:tc>
      </w:tr>
      <w:tr w:rsidR="006728A8" w:rsidRPr="00D5254D" w:rsidTr="00C412D2">
        <w:trPr>
          <w:trHeight w:val="300"/>
        </w:trPr>
        <w:tc>
          <w:tcPr>
            <w:tcW w:w="14800" w:type="dxa"/>
            <w:gridSpan w:val="7"/>
            <w:tcBorders>
              <w:top w:val="nil"/>
              <w:left w:val="nil"/>
              <w:bottom w:val="nil"/>
              <w:right w:val="nil"/>
            </w:tcBorders>
            <w:shd w:val="clear" w:color="auto" w:fill="auto"/>
            <w:vAlign w:val="bottom"/>
            <w:hideMark/>
          </w:tcPr>
          <w:p w:rsidR="006728A8" w:rsidRPr="00D5254D" w:rsidRDefault="006728A8" w:rsidP="00C412D2">
            <w:pPr>
              <w:spacing w:after="0" w:line="240" w:lineRule="auto"/>
              <w:rPr>
                <w:rFonts w:ascii="Times New Roman" w:eastAsia="Times New Roman" w:hAnsi="Times New Roman" w:cs="Times New Roman"/>
                <w:sz w:val="20"/>
                <w:szCs w:val="20"/>
                <w:lang w:eastAsia="ru-RU"/>
              </w:rPr>
            </w:pPr>
            <w:r w:rsidRPr="00D5254D">
              <w:rPr>
                <w:rFonts w:ascii="Times New Roman" w:eastAsia="Times New Roman" w:hAnsi="Times New Roman" w:cs="Times New Roman"/>
                <w:sz w:val="20"/>
                <w:szCs w:val="20"/>
                <w:lang w:eastAsia="ru-RU"/>
              </w:rPr>
              <w:t>С учетом бюджетных инвестиций в рамках Федеральной целевой программы "</w:t>
            </w:r>
            <w:proofErr w:type="gramStart"/>
            <w:r w:rsidRPr="00D5254D">
              <w:rPr>
                <w:rFonts w:ascii="Times New Roman" w:eastAsia="Times New Roman" w:hAnsi="Times New Roman" w:cs="Times New Roman"/>
                <w:sz w:val="20"/>
                <w:szCs w:val="20"/>
                <w:lang w:eastAsia="ru-RU"/>
              </w:rPr>
              <w:t>Социальное-экономическое</w:t>
            </w:r>
            <w:proofErr w:type="gramEnd"/>
            <w:r w:rsidRPr="00D5254D">
              <w:rPr>
                <w:rFonts w:ascii="Times New Roman" w:eastAsia="Times New Roman" w:hAnsi="Times New Roman" w:cs="Times New Roman"/>
                <w:sz w:val="20"/>
                <w:szCs w:val="20"/>
                <w:lang w:eastAsia="ru-RU"/>
              </w:rPr>
              <w:t xml:space="preserve"> развитие Чеченской Республики на 2008 - 2012 годы</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D5254D">
          <w:pgSz w:w="16838" w:h="11906" w:orient="landscape"/>
          <w:pgMar w:top="851" w:right="1134" w:bottom="1701" w:left="1134"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2439B5DC" wp14:editId="55028D24">
            <wp:extent cx="6519747" cy="4192859"/>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5DED7E36" wp14:editId="7B0FB92D">
            <wp:extent cx="6523893" cy="4396154"/>
            <wp:effectExtent l="0" t="0" r="10795" b="444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sectPr w:rsidR="006728A8" w:rsidSect="000F329E">
          <w:pgSz w:w="11906" w:h="16838"/>
          <w:pgMar w:top="1134" w:right="851" w:bottom="1134" w:left="1701"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tbl>
      <w:tblPr>
        <w:tblW w:w="15041" w:type="dxa"/>
        <w:tblInd w:w="93" w:type="dxa"/>
        <w:tblLook w:val="04A0" w:firstRow="1" w:lastRow="0" w:firstColumn="1" w:lastColumn="0" w:noHBand="0" w:noVBand="1"/>
      </w:tblPr>
      <w:tblGrid>
        <w:gridCol w:w="503"/>
        <w:gridCol w:w="3880"/>
        <w:gridCol w:w="2080"/>
        <w:gridCol w:w="1349"/>
        <w:gridCol w:w="2260"/>
        <w:gridCol w:w="1474"/>
        <w:gridCol w:w="2120"/>
        <w:gridCol w:w="1375"/>
      </w:tblGrid>
      <w:tr w:rsidR="006728A8" w:rsidRPr="000F329E" w:rsidTr="00C412D2">
        <w:trPr>
          <w:trHeight w:val="255"/>
        </w:trPr>
        <w:tc>
          <w:tcPr>
            <w:tcW w:w="15041" w:type="dxa"/>
            <w:gridSpan w:val="8"/>
            <w:tcBorders>
              <w:top w:val="nil"/>
              <w:left w:val="nil"/>
              <w:bottom w:val="nil"/>
              <w:right w:val="nil"/>
            </w:tcBorders>
            <w:shd w:val="clear" w:color="auto" w:fill="auto"/>
            <w:noWrap/>
            <w:vAlign w:val="bottom"/>
            <w:hideMark/>
          </w:tcPr>
          <w:p w:rsidR="006728A8" w:rsidRPr="000F329E" w:rsidRDefault="006728A8" w:rsidP="00C412D2">
            <w:pPr>
              <w:spacing w:after="0" w:line="240" w:lineRule="auto"/>
              <w:jc w:val="center"/>
              <w:rPr>
                <w:rFonts w:ascii="Times New Roman" w:eastAsia="Times New Roman" w:hAnsi="Times New Roman" w:cs="Times New Roman"/>
                <w:b/>
                <w:bCs/>
                <w:sz w:val="24"/>
                <w:szCs w:val="24"/>
                <w:lang w:eastAsia="ru-RU"/>
              </w:rPr>
            </w:pPr>
            <w:r w:rsidRPr="000F329E">
              <w:rPr>
                <w:rFonts w:ascii="Times New Roman" w:eastAsia="Times New Roman" w:hAnsi="Times New Roman" w:cs="Times New Roman"/>
                <w:b/>
                <w:bCs/>
                <w:sz w:val="24"/>
                <w:szCs w:val="24"/>
                <w:lang w:eastAsia="ru-RU"/>
              </w:rPr>
              <w:t>Отдельные показатели исполнения консолидированных бюджетов субъектов СКФО за 2012 год</w:t>
            </w:r>
          </w:p>
        </w:tc>
      </w:tr>
      <w:tr w:rsidR="006728A8" w:rsidRPr="000F329E" w:rsidTr="00C412D2">
        <w:trPr>
          <w:trHeight w:val="270"/>
        </w:trPr>
        <w:tc>
          <w:tcPr>
            <w:tcW w:w="503"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3880"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1349"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1474"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c>
          <w:tcPr>
            <w:tcW w:w="1375" w:type="dxa"/>
            <w:tcBorders>
              <w:top w:val="nil"/>
              <w:left w:val="nil"/>
              <w:bottom w:val="nil"/>
              <w:right w:val="nil"/>
            </w:tcBorders>
            <w:shd w:val="clear" w:color="auto" w:fill="auto"/>
            <w:noWrap/>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p>
        </w:tc>
      </w:tr>
      <w:tr w:rsidR="006728A8" w:rsidRPr="000F329E" w:rsidTr="00C412D2">
        <w:trPr>
          <w:trHeight w:val="1290"/>
        </w:trPr>
        <w:tc>
          <w:tcPr>
            <w:tcW w:w="503"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 xml:space="preserve">№ </w:t>
            </w:r>
            <w:proofErr w:type="gramStart"/>
            <w:r w:rsidRPr="000F329E">
              <w:rPr>
                <w:rFonts w:ascii="Times New Roman" w:eastAsia="Times New Roman" w:hAnsi="Times New Roman" w:cs="Times New Roman"/>
                <w:b/>
                <w:bCs/>
                <w:sz w:val="20"/>
                <w:szCs w:val="20"/>
                <w:lang w:eastAsia="ru-RU"/>
              </w:rPr>
              <w:t>п</w:t>
            </w:r>
            <w:proofErr w:type="gramEnd"/>
            <w:r w:rsidRPr="000F329E">
              <w:rPr>
                <w:rFonts w:ascii="Times New Roman" w:eastAsia="Times New Roman" w:hAnsi="Times New Roman" w:cs="Times New Roman"/>
                <w:b/>
                <w:bCs/>
                <w:sz w:val="20"/>
                <w:szCs w:val="20"/>
                <w:lang w:eastAsia="ru-RU"/>
              </w:rPr>
              <w:t>/п</w:t>
            </w:r>
          </w:p>
        </w:tc>
        <w:tc>
          <w:tcPr>
            <w:tcW w:w="3880" w:type="dxa"/>
            <w:tcBorders>
              <w:top w:val="single" w:sz="8" w:space="0" w:color="auto"/>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Наименование субъекта РФ</w:t>
            </w:r>
          </w:p>
        </w:tc>
        <w:tc>
          <w:tcPr>
            <w:tcW w:w="2080" w:type="dxa"/>
            <w:tcBorders>
              <w:top w:val="single" w:sz="8" w:space="0" w:color="auto"/>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 xml:space="preserve">Оплата труда с начислениями, </w:t>
            </w:r>
            <w:r w:rsidRPr="000F329E">
              <w:rPr>
                <w:rFonts w:ascii="Times New Roman" w:eastAsia="Times New Roman" w:hAnsi="Times New Roman" w:cs="Times New Roman"/>
                <w:b/>
                <w:bCs/>
                <w:sz w:val="20"/>
                <w:szCs w:val="20"/>
                <w:lang w:eastAsia="ru-RU"/>
              </w:rPr>
              <w:br/>
              <w:t>тыс. руб.</w:t>
            </w:r>
          </w:p>
        </w:tc>
        <w:tc>
          <w:tcPr>
            <w:tcW w:w="1349" w:type="dxa"/>
            <w:tcBorders>
              <w:top w:val="single" w:sz="8" w:space="0" w:color="auto"/>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Удельный вес в расходах, %</w:t>
            </w:r>
          </w:p>
        </w:tc>
        <w:tc>
          <w:tcPr>
            <w:tcW w:w="2260" w:type="dxa"/>
            <w:tcBorders>
              <w:top w:val="single" w:sz="8" w:space="0" w:color="auto"/>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Оплата коммунальных услуг бюджетными учреждениями, тыс. руб.</w:t>
            </w:r>
          </w:p>
        </w:tc>
        <w:tc>
          <w:tcPr>
            <w:tcW w:w="1474" w:type="dxa"/>
            <w:tcBorders>
              <w:top w:val="single" w:sz="8" w:space="0" w:color="auto"/>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Удельный вес в расходах, %</w:t>
            </w:r>
          </w:p>
        </w:tc>
        <w:tc>
          <w:tcPr>
            <w:tcW w:w="2120" w:type="dxa"/>
            <w:tcBorders>
              <w:top w:val="single" w:sz="8" w:space="0" w:color="auto"/>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Увеличение стоимости основных средств,  тыс. руб.</w:t>
            </w:r>
          </w:p>
        </w:tc>
        <w:tc>
          <w:tcPr>
            <w:tcW w:w="1375" w:type="dxa"/>
            <w:tcBorders>
              <w:top w:val="single" w:sz="8" w:space="0" w:color="auto"/>
              <w:left w:val="nil"/>
              <w:bottom w:val="single" w:sz="4" w:space="0" w:color="auto"/>
              <w:right w:val="single" w:sz="8"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b/>
                <w:bCs/>
                <w:sz w:val="20"/>
                <w:szCs w:val="20"/>
                <w:lang w:eastAsia="ru-RU"/>
              </w:rPr>
            </w:pPr>
            <w:r w:rsidRPr="000F329E">
              <w:rPr>
                <w:rFonts w:ascii="Times New Roman" w:eastAsia="Times New Roman" w:hAnsi="Times New Roman" w:cs="Times New Roman"/>
                <w:b/>
                <w:bCs/>
                <w:sz w:val="20"/>
                <w:szCs w:val="20"/>
                <w:lang w:eastAsia="ru-RU"/>
              </w:rPr>
              <w:t>Удельный вес в расходах, %</w:t>
            </w:r>
          </w:p>
        </w:tc>
      </w:tr>
      <w:tr w:rsidR="006728A8" w:rsidRPr="000F329E" w:rsidTr="00C412D2">
        <w:trPr>
          <w:trHeight w:val="567"/>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w:t>
            </w:r>
          </w:p>
        </w:tc>
        <w:tc>
          <w:tcPr>
            <w:tcW w:w="3880" w:type="dxa"/>
            <w:tcBorders>
              <w:top w:val="nil"/>
              <w:left w:val="nil"/>
              <w:bottom w:val="single" w:sz="4" w:space="0" w:color="auto"/>
              <w:right w:val="single" w:sz="4" w:space="0" w:color="auto"/>
            </w:tcBorders>
            <w:shd w:val="clear" w:color="000000" w:fill="FFFFFF"/>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Республика Дагестан</w:t>
            </w:r>
          </w:p>
        </w:tc>
        <w:tc>
          <w:tcPr>
            <w:tcW w:w="208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20 650 264,5</w:t>
            </w:r>
          </w:p>
        </w:tc>
        <w:tc>
          <w:tcPr>
            <w:tcW w:w="1349"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25,5%</w:t>
            </w:r>
          </w:p>
        </w:tc>
        <w:tc>
          <w:tcPr>
            <w:tcW w:w="226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1 029 199,3</w:t>
            </w:r>
          </w:p>
        </w:tc>
        <w:tc>
          <w:tcPr>
            <w:tcW w:w="1474"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1,3%</w:t>
            </w:r>
          </w:p>
        </w:tc>
        <w:tc>
          <w:tcPr>
            <w:tcW w:w="2120"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18 150 772,1</w:t>
            </w:r>
          </w:p>
        </w:tc>
        <w:tc>
          <w:tcPr>
            <w:tcW w:w="1375" w:type="dxa"/>
            <w:tcBorders>
              <w:top w:val="nil"/>
              <w:left w:val="nil"/>
              <w:bottom w:val="single" w:sz="4" w:space="0" w:color="auto"/>
              <w:right w:val="single" w:sz="8"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22,4%</w:t>
            </w:r>
          </w:p>
        </w:tc>
      </w:tr>
      <w:tr w:rsidR="006728A8" w:rsidRPr="000F329E" w:rsidTr="00C412D2">
        <w:trPr>
          <w:trHeight w:val="567"/>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w:t>
            </w:r>
          </w:p>
        </w:tc>
        <w:tc>
          <w:tcPr>
            <w:tcW w:w="3880" w:type="dxa"/>
            <w:tcBorders>
              <w:top w:val="nil"/>
              <w:left w:val="nil"/>
              <w:bottom w:val="single" w:sz="4" w:space="0" w:color="auto"/>
              <w:right w:val="single" w:sz="4" w:space="0" w:color="auto"/>
            </w:tcBorders>
            <w:shd w:val="clear" w:color="000000" w:fill="FFFFFF"/>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Республика Ингушетия</w:t>
            </w:r>
          </w:p>
        </w:tc>
        <w:tc>
          <w:tcPr>
            <w:tcW w:w="208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3 452 937,3</w:t>
            </w:r>
          </w:p>
        </w:tc>
        <w:tc>
          <w:tcPr>
            <w:tcW w:w="1349"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16,7%</w:t>
            </w:r>
          </w:p>
        </w:tc>
        <w:tc>
          <w:tcPr>
            <w:tcW w:w="226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203 663,4</w:t>
            </w:r>
          </w:p>
        </w:tc>
        <w:tc>
          <w:tcPr>
            <w:tcW w:w="1474"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1,0%</w:t>
            </w:r>
          </w:p>
        </w:tc>
        <w:tc>
          <w:tcPr>
            <w:tcW w:w="2120"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8 583 253,4</w:t>
            </w:r>
          </w:p>
        </w:tc>
        <w:tc>
          <w:tcPr>
            <w:tcW w:w="1375" w:type="dxa"/>
            <w:tcBorders>
              <w:top w:val="nil"/>
              <w:left w:val="nil"/>
              <w:bottom w:val="single" w:sz="4" w:space="0" w:color="auto"/>
              <w:right w:val="single" w:sz="8"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41,5%</w:t>
            </w:r>
          </w:p>
        </w:tc>
      </w:tr>
      <w:tr w:rsidR="006728A8" w:rsidRPr="000F329E" w:rsidTr="00C412D2">
        <w:trPr>
          <w:trHeight w:val="567"/>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3</w:t>
            </w:r>
          </w:p>
        </w:tc>
        <w:tc>
          <w:tcPr>
            <w:tcW w:w="3880" w:type="dxa"/>
            <w:tcBorders>
              <w:top w:val="nil"/>
              <w:left w:val="nil"/>
              <w:bottom w:val="single" w:sz="4" w:space="0" w:color="auto"/>
              <w:right w:val="single" w:sz="4" w:space="0" w:color="auto"/>
            </w:tcBorders>
            <w:shd w:val="clear" w:color="000000" w:fill="FFFFFF"/>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Кабардино-Балкарская республика</w:t>
            </w:r>
          </w:p>
        </w:tc>
        <w:tc>
          <w:tcPr>
            <w:tcW w:w="208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7 298 611,6</w:t>
            </w:r>
          </w:p>
        </w:tc>
        <w:tc>
          <w:tcPr>
            <w:tcW w:w="1349"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29,2%</w:t>
            </w:r>
          </w:p>
        </w:tc>
        <w:tc>
          <w:tcPr>
            <w:tcW w:w="226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445 946,9</w:t>
            </w:r>
          </w:p>
        </w:tc>
        <w:tc>
          <w:tcPr>
            <w:tcW w:w="1474"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1,8%</w:t>
            </w:r>
          </w:p>
        </w:tc>
        <w:tc>
          <w:tcPr>
            <w:tcW w:w="2120"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3 792 008,0</w:t>
            </w:r>
          </w:p>
        </w:tc>
        <w:tc>
          <w:tcPr>
            <w:tcW w:w="1375" w:type="dxa"/>
            <w:tcBorders>
              <w:top w:val="nil"/>
              <w:left w:val="nil"/>
              <w:bottom w:val="single" w:sz="4" w:space="0" w:color="auto"/>
              <w:right w:val="single" w:sz="8"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15,2%</w:t>
            </w:r>
          </w:p>
        </w:tc>
      </w:tr>
      <w:tr w:rsidR="006728A8" w:rsidRPr="000F329E" w:rsidTr="00C412D2">
        <w:trPr>
          <w:trHeight w:val="567"/>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4</w:t>
            </w:r>
          </w:p>
        </w:tc>
        <w:tc>
          <w:tcPr>
            <w:tcW w:w="3880" w:type="dxa"/>
            <w:tcBorders>
              <w:top w:val="nil"/>
              <w:left w:val="nil"/>
              <w:bottom w:val="single" w:sz="4" w:space="0" w:color="auto"/>
              <w:right w:val="single" w:sz="4" w:space="0" w:color="auto"/>
            </w:tcBorders>
            <w:shd w:val="clear" w:color="000000" w:fill="FFFFFF"/>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Карачаево-Черкесская республика</w:t>
            </w:r>
          </w:p>
        </w:tc>
        <w:tc>
          <w:tcPr>
            <w:tcW w:w="208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3 674 740,6</w:t>
            </w:r>
          </w:p>
        </w:tc>
        <w:tc>
          <w:tcPr>
            <w:tcW w:w="1349"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17,8%</w:t>
            </w:r>
          </w:p>
        </w:tc>
        <w:tc>
          <w:tcPr>
            <w:tcW w:w="226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289 845,5</w:t>
            </w:r>
          </w:p>
        </w:tc>
        <w:tc>
          <w:tcPr>
            <w:tcW w:w="1474"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1,4%</w:t>
            </w:r>
          </w:p>
        </w:tc>
        <w:tc>
          <w:tcPr>
            <w:tcW w:w="2120"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4 445 333,8</w:t>
            </w:r>
          </w:p>
        </w:tc>
        <w:tc>
          <w:tcPr>
            <w:tcW w:w="1375" w:type="dxa"/>
            <w:tcBorders>
              <w:top w:val="nil"/>
              <w:left w:val="nil"/>
              <w:bottom w:val="single" w:sz="4" w:space="0" w:color="auto"/>
              <w:right w:val="single" w:sz="8"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21,6%</w:t>
            </w:r>
          </w:p>
        </w:tc>
      </w:tr>
      <w:tr w:rsidR="006728A8" w:rsidRPr="000F329E" w:rsidTr="00C412D2">
        <w:trPr>
          <w:trHeight w:val="567"/>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5</w:t>
            </w:r>
          </w:p>
        </w:tc>
        <w:tc>
          <w:tcPr>
            <w:tcW w:w="3880" w:type="dxa"/>
            <w:tcBorders>
              <w:top w:val="nil"/>
              <w:left w:val="nil"/>
              <w:bottom w:val="single" w:sz="4" w:space="0" w:color="auto"/>
              <w:right w:val="single" w:sz="4" w:space="0" w:color="auto"/>
            </w:tcBorders>
            <w:shd w:val="clear" w:color="000000" w:fill="FFFFFF"/>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Республика Северная Осетия</w:t>
            </w:r>
          </w:p>
        </w:tc>
        <w:tc>
          <w:tcPr>
            <w:tcW w:w="208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2 587 550,0</w:t>
            </w:r>
          </w:p>
        </w:tc>
        <w:tc>
          <w:tcPr>
            <w:tcW w:w="1349"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11,8%</w:t>
            </w:r>
          </w:p>
        </w:tc>
        <w:tc>
          <w:tcPr>
            <w:tcW w:w="2260"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200 685,4</w:t>
            </w:r>
          </w:p>
        </w:tc>
        <w:tc>
          <w:tcPr>
            <w:tcW w:w="1474" w:type="dxa"/>
            <w:tcBorders>
              <w:top w:val="nil"/>
              <w:left w:val="nil"/>
              <w:bottom w:val="single" w:sz="4"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0,9%</w:t>
            </w:r>
          </w:p>
        </w:tc>
        <w:tc>
          <w:tcPr>
            <w:tcW w:w="2120" w:type="dxa"/>
            <w:tcBorders>
              <w:top w:val="nil"/>
              <w:left w:val="nil"/>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2 904 652,9</w:t>
            </w:r>
          </w:p>
        </w:tc>
        <w:tc>
          <w:tcPr>
            <w:tcW w:w="1375" w:type="dxa"/>
            <w:tcBorders>
              <w:top w:val="nil"/>
              <w:left w:val="nil"/>
              <w:bottom w:val="single" w:sz="4" w:space="0" w:color="auto"/>
              <w:right w:val="single" w:sz="8"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13,3%</w:t>
            </w:r>
          </w:p>
        </w:tc>
      </w:tr>
      <w:tr w:rsidR="006728A8" w:rsidRPr="000F329E" w:rsidTr="00C412D2">
        <w:trPr>
          <w:trHeight w:val="567"/>
        </w:trPr>
        <w:tc>
          <w:tcPr>
            <w:tcW w:w="503" w:type="dxa"/>
            <w:tcBorders>
              <w:top w:val="nil"/>
              <w:left w:val="single" w:sz="8" w:space="0" w:color="auto"/>
              <w:bottom w:val="single" w:sz="4"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6</w:t>
            </w:r>
          </w:p>
        </w:tc>
        <w:tc>
          <w:tcPr>
            <w:tcW w:w="3880" w:type="dxa"/>
            <w:tcBorders>
              <w:top w:val="nil"/>
              <w:left w:val="nil"/>
              <w:bottom w:val="single" w:sz="4" w:space="0" w:color="auto"/>
              <w:right w:val="single" w:sz="4" w:space="0" w:color="auto"/>
            </w:tcBorders>
            <w:shd w:val="clear" w:color="000000" w:fill="CCFFCC"/>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Чеченская Республика</w:t>
            </w:r>
          </w:p>
        </w:tc>
        <w:tc>
          <w:tcPr>
            <w:tcW w:w="2080" w:type="dxa"/>
            <w:tcBorders>
              <w:top w:val="nil"/>
              <w:left w:val="nil"/>
              <w:bottom w:val="single" w:sz="4" w:space="0" w:color="auto"/>
              <w:right w:val="single" w:sz="4" w:space="0" w:color="auto"/>
            </w:tcBorders>
            <w:shd w:val="clear" w:color="000000" w:fill="CCFFCC"/>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4 861 220,9</w:t>
            </w:r>
          </w:p>
        </w:tc>
        <w:tc>
          <w:tcPr>
            <w:tcW w:w="1349" w:type="dxa"/>
            <w:tcBorders>
              <w:top w:val="nil"/>
              <w:left w:val="nil"/>
              <w:bottom w:val="single" w:sz="4" w:space="0" w:color="auto"/>
              <w:right w:val="single" w:sz="4" w:space="0" w:color="auto"/>
            </w:tcBorders>
            <w:shd w:val="clear" w:color="000000" w:fill="CCFFCC"/>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6,3%</w:t>
            </w:r>
          </w:p>
        </w:tc>
        <w:tc>
          <w:tcPr>
            <w:tcW w:w="2260" w:type="dxa"/>
            <w:tcBorders>
              <w:top w:val="nil"/>
              <w:left w:val="nil"/>
              <w:bottom w:val="single" w:sz="4" w:space="0" w:color="auto"/>
              <w:right w:val="single" w:sz="4" w:space="0" w:color="auto"/>
            </w:tcBorders>
            <w:shd w:val="clear" w:color="000000" w:fill="CCFFCC"/>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201 770,8</w:t>
            </w:r>
          </w:p>
        </w:tc>
        <w:tc>
          <w:tcPr>
            <w:tcW w:w="1474" w:type="dxa"/>
            <w:tcBorders>
              <w:top w:val="nil"/>
              <w:left w:val="nil"/>
              <w:bottom w:val="single" w:sz="4" w:space="0" w:color="auto"/>
              <w:right w:val="single" w:sz="4" w:space="0" w:color="auto"/>
            </w:tcBorders>
            <w:shd w:val="clear" w:color="000000" w:fill="CCFFCC"/>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0,3%</w:t>
            </w:r>
          </w:p>
        </w:tc>
        <w:tc>
          <w:tcPr>
            <w:tcW w:w="2120" w:type="dxa"/>
            <w:tcBorders>
              <w:top w:val="nil"/>
              <w:left w:val="nil"/>
              <w:bottom w:val="single" w:sz="4" w:space="0" w:color="auto"/>
              <w:right w:val="single" w:sz="4" w:space="0" w:color="auto"/>
            </w:tcBorders>
            <w:shd w:val="clear" w:color="000000" w:fill="CCFFCC"/>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26 085 264,1</w:t>
            </w:r>
          </w:p>
        </w:tc>
        <w:tc>
          <w:tcPr>
            <w:tcW w:w="1375" w:type="dxa"/>
            <w:tcBorders>
              <w:top w:val="nil"/>
              <w:left w:val="nil"/>
              <w:bottom w:val="single" w:sz="4" w:space="0" w:color="auto"/>
              <w:right w:val="single" w:sz="8" w:space="0" w:color="auto"/>
            </w:tcBorders>
            <w:shd w:val="clear" w:color="000000" w:fill="CCFFCC"/>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33,6%</w:t>
            </w:r>
          </w:p>
        </w:tc>
      </w:tr>
      <w:tr w:rsidR="006728A8" w:rsidRPr="000F329E" w:rsidTr="00C412D2">
        <w:trPr>
          <w:trHeight w:val="567"/>
        </w:trPr>
        <w:tc>
          <w:tcPr>
            <w:tcW w:w="503" w:type="dxa"/>
            <w:tcBorders>
              <w:top w:val="nil"/>
              <w:left w:val="single" w:sz="8" w:space="0" w:color="auto"/>
              <w:bottom w:val="single" w:sz="8"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7</w:t>
            </w:r>
          </w:p>
        </w:tc>
        <w:tc>
          <w:tcPr>
            <w:tcW w:w="3880" w:type="dxa"/>
            <w:tcBorders>
              <w:top w:val="nil"/>
              <w:left w:val="nil"/>
              <w:bottom w:val="single" w:sz="8" w:space="0" w:color="auto"/>
              <w:right w:val="single" w:sz="4" w:space="0" w:color="auto"/>
            </w:tcBorders>
            <w:shd w:val="clear" w:color="000000" w:fill="FFFFFF"/>
            <w:vAlign w:val="center"/>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Ставропольский край</w:t>
            </w:r>
          </w:p>
        </w:tc>
        <w:tc>
          <w:tcPr>
            <w:tcW w:w="2080" w:type="dxa"/>
            <w:tcBorders>
              <w:top w:val="nil"/>
              <w:left w:val="nil"/>
              <w:bottom w:val="single" w:sz="8"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15 158 921,9</w:t>
            </w:r>
          </w:p>
        </w:tc>
        <w:tc>
          <w:tcPr>
            <w:tcW w:w="1349" w:type="dxa"/>
            <w:tcBorders>
              <w:top w:val="nil"/>
              <w:left w:val="nil"/>
              <w:bottom w:val="single" w:sz="8"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16,6%</w:t>
            </w:r>
          </w:p>
        </w:tc>
        <w:tc>
          <w:tcPr>
            <w:tcW w:w="2260" w:type="dxa"/>
            <w:tcBorders>
              <w:top w:val="nil"/>
              <w:left w:val="nil"/>
              <w:bottom w:val="single" w:sz="8"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1 252 801,9</w:t>
            </w:r>
          </w:p>
        </w:tc>
        <w:tc>
          <w:tcPr>
            <w:tcW w:w="1474" w:type="dxa"/>
            <w:tcBorders>
              <w:top w:val="nil"/>
              <w:left w:val="nil"/>
              <w:bottom w:val="single" w:sz="8" w:space="0" w:color="auto"/>
              <w:right w:val="single" w:sz="4"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1,4%</w:t>
            </w:r>
          </w:p>
        </w:tc>
        <w:tc>
          <w:tcPr>
            <w:tcW w:w="2120" w:type="dxa"/>
            <w:tcBorders>
              <w:top w:val="nil"/>
              <w:left w:val="nil"/>
              <w:bottom w:val="single" w:sz="8" w:space="0" w:color="auto"/>
              <w:right w:val="single" w:sz="4" w:space="0" w:color="auto"/>
            </w:tcBorders>
            <w:shd w:val="clear" w:color="auto" w:fill="auto"/>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9 847 415,7</w:t>
            </w:r>
          </w:p>
        </w:tc>
        <w:tc>
          <w:tcPr>
            <w:tcW w:w="1375" w:type="dxa"/>
            <w:tcBorders>
              <w:top w:val="nil"/>
              <w:left w:val="nil"/>
              <w:bottom w:val="single" w:sz="8" w:space="0" w:color="auto"/>
              <w:right w:val="single" w:sz="8" w:space="0" w:color="auto"/>
            </w:tcBorders>
            <w:shd w:val="clear" w:color="auto" w:fill="auto"/>
            <w:noWrap/>
            <w:vAlign w:val="center"/>
            <w:hideMark/>
          </w:tcPr>
          <w:p w:rsidR="006728A8" w:rsidRPr="000F329E" w:rsidRDefault="006728A8" w:rsidP="00C412D2">
            <w:pPr>
              <w:spacing w:after="0" w:line="240" w:lineRule="auto"/>
              <w:jc w:val="center"/>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10,8%</w:t>
            </w:r>
          </w:p>
        </w:tc>
      </w:tr>
      <w:tr w:rsidR="006728A8" w:rsidRPr="000F329E" w:rsidTr="00C412D2">
        <w:trPr>
          <w:trHeight w:val="360"/>
        </w:trPr>
        <w:tc>
          <w:tcPr>
            <w:tcW w:w="15041" w:type="dxa"/>
            <w:gridSpan w:val="8"/>
            <w:tcBorders>
              <w:top w:val="nil"/>
              <w:left w:val="nil"/>
              <w:bottom w:val="nil"/>
              <w:right w:val="nil"/>
            </w:tcBorders>
            <w:shd w:val="clear" w:color="auto" w:fill="auto"/>
            <w:vAlign w:val="bottom"/>
            <w:hideMark/>
          </w:tcPr>
          <w:p w:rsidR="006728A8" w:rsidRPr="000F329E" w:rsidRDefault="006728A8" w:rsidP="00C412D2">
            <w:pPr>
              <w:spacing w:after="0" w:line="240" w:lineRule="auto"/>
              <w:rPr>
                <w:rFonts w:ascii="Times New Roman" w:eastAsia="Times New Roman" w:hAnsi="Times New Roman" w:cs="Times New Roman"/>
                <w:sz w:val="20"/>
                <w:szCs w:val="20"/>
                <w:lang w:eastAsia="ru-RU"/>
              </w:rPr>
            </w:pPr>
            <w:r w:rsidRPr="000F329E">
              <w:rPr>
                <w:rFonts w:ascii="Times New Roman" w:eastAsia="Times New Roman" w:hAnsi="Times New Roman" w:cs="Times New Roman"/>
                <w:sz w:val="20"/>
                <w:szCs w:val="20"/>
                <w:lang w:eastAsia="ru-RU"/>
              </w:rPr>
              <w:t>С учетом бюджетных инвестиций в рамках Федеральной целевой программы "Социально-экономическое развитие Чеченской Республики на 2008 - 2012 годы</w:t>
            </w:r>
          </w:p>
        </w:tc>
      </w:tr>
    </w:tbl>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0F329E">
          <w:pgSz w:w="16838" w:h="11906" w:orient="landscape"/>
          <w:pgMar w:top="851" w:right="1134" w:bottom="1701" w:left="1134" w:header="709" w:footer="709" w:gutter="0"/>
          <w:cols w:space="708"/>
          <w:docGrid w:linePitch="360"/>
        </w:sect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253FF234" wp14:editId="213B7C4D">
            <wp:extent cx="6498076" cy="4338536"/>
            <wp:effectExtent l="0" t="0" r="0" b="508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021C4D6C" wp14:editId="12D2EB99">
            <wp:extent cx="6549483" cy="4096214"/>
            <wp:effectExtent l="0" t="0" r="381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40A50B60" wp14:editId="16B23499">
            <wp:extent cx="6512312" cy="4282068"/>
            <wp:effectExtent l="0" t="0" r="3175" b="444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4D989970" wp14:editId="72433EF1">
            <wp:extent cx="6512312" cy="3873190"/>
            <wp:effectExtent l="0" t="0" r="3175"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lastRenderedPageBreak/>
        <w:drawing>
          <wp:inline distT="0" distB="0" distL="0" distR="0" wp14:anchorId="18D29AEA" wp14:editId="628DC41E">
            <wp:extent cx="6571786" cy="3873190"/>
            <wp:effectExtent l="0" t="0" r="635"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r>
        <w:rPr>
          <w:noProof/>
          <w:lang w:eastAsia="ru-RU"/>
        </w:rPr>
        <w:drawing>
          <wp:inline distT="0" distB="0" distL="0" distR="0" wp14:anchorId="73A9AD2E" wp14:editId="4F65A855">
            <wp:extent cx="6571786" cy="4720683"/>
            <wp:effectExtent l="0" t="0" r="635" b="381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sectPr w:rsidR="006728A8" w:rsidSect="000F329E">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34D25" w:rsidRDefault="00934D25" w:rsidP="00125A91">
      <w:pPr>
        <w:spacing w:after="0" w:line="240" w:lineRule="auto"/>
      </w:pPr>
      <w:r>
        <w:separator/>
      </w:r>
    </w:p>
  </w:endnote>
  <w:endnote w:type="continuationSeparator" w:id="0">
    <w:p w:rsidR="00934D25" w:rsidRDefault="00934D25" w:rsidP="00125A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PFAgoraSerifPro-Bold">
    <w:altName w:val="Times New Roman"/>
    <w:panose1 w:val="00000000000000000000"/>
    <w:charset w:val="CC"/>
    <w:family w:val="auto"/>
    <w:notTrueType/>
    <w:pitch w:val="default"/>
    <w:sig w:usb0="00000203" w:usb1="00000000" w:usb2="00000000" w:usb3="00000000" w:csb0="00000005" w:csb1="00000000"/>
  </w:font>
  <w:font w:name="Arial CYR">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6787674"/>
      <w:docPartObj>
        <w:docPartGallery w:val="Page Numbers (Bottom of Page)"/>
        <w:docPartUnique/>
      </w:docPartObj>
    </w:sdtPr>
    <w:sdtContent>
      <w:p w:rsidR="00EA462B" w:rsidRDefault="00EA462B">
        <w:pPr>
          <w:pStyle w:val="a5"/>
          <w:jc w:val="right"/>
        </w:pPr>
        <w:r>
          <w:fldChar w:fldCharType="begin"/>
        </w:r>
        <w:r>
          <w:instrText>PAGE   \* MERGEFORMAT</w:instrText>
        </w:r>
        <w:r>
          <w:fldChar w:fldCharType="separate"/>
        </w:r>
        <w:r w:rsidR="007F4AB9">
          <w:rPr>
            <w:noProof/>
          </w:rPr>
          <w:t>186</w:t>
        </w:r>
        <w:r>
          <w:fldChar w:fldCharType="end"/>
        </w:r>
      </w:p>
    </w:sdtContent>
  </w:sdt>
  <w:p w:rsidR="00EA462B" w:rsidRDefault="00EA462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34D25" w:rsidRDefault="00934D25" w:rsidP="00125A91">
      <w:pPr>
        <w:spacing w:after="0" w:line="240" w:lineRule="auto"/>
      </w:pPr>
      <w:r>
        <w:separator/>
      </w:r>
    </w:p>
  </w:footnote>
  <w:footnote w:type="continuationSeparator" w:id="0">
    <w:p w:rsidR="00934D25" w:rsidRDefault="00934D25" w:rsidP="00125A91">
      <w:pPr>
        <w:spacing w:after="0" w:line="240" w:lineRule="auto"/>
      </w:pPr>
      <w:r>
        <w:continuationSeparator/>
      </w:r>
    </w:p>
  </w:footnote>
  <w:footnote w:id="1">
    <w:p w:rsidR="00EA462B" w:rsidRDefault="00EA462B" w:rsidP="008D5D14">
      <w:pPr>
        <w:pStyle w:val="ae"/>
      </w:pPr>
      <w:r>
        <w:rPr>
          <w:rStyle w:val="af0"/>
        </w:rPr>
        <w:footnoteRef/>
      </w:r>
      <w:r>
        <w:t xml:space="preserve"> </w:t>
      </w:r>
      <w:hyperlink r:id="rId1" w:history="1">
        <w:r w:rsidRPr="00E522D0">
          <w:rPr>
            <w:rStyle w:val="af1"/>
          </w:rPr>
          <w:t>http://www.economy.gov.ru/minec/activity/sections/econreg/monprog/doc201003051507</w:t>
        </w:r>
      </w:hyperlink>
      <w:r>
        <w:t xml:space="preserve"> Сайт Министерства экономического развития РФ: «Справка о социально-экономическом развитии Чеченской Республики» в разделе «Развитие экономики регионов».</w:t>
      </w:r>
    </w:p>
  </w:footnote>
  <w:footnote w:id="2">
    <w:p w:rsidR="00EA462B" w:rsidRDefault="00EA462B" w:rsidP="008D5D14">
      <w:pPr>
        <w:pStyle w:val="ae"/>
      </w:pPr>
      <w:r>
        <w:rPr>
          <w:rStyle w:val="af0"/>
        </w:rPr>
        <w:footnoteRef/>
      </w:r>
      <w:r>
        <w:t xml:space="preserve"> </w:t>
      </w:r>
      <w:r w:rsidRPr="00E377D2">
        <w:rPr>
          <w:sz w:val="22"/>
          <w:szCs w:val="28"/>
        </w:rPr>
        <w:t xml:space="preserve">См. </w:t>
      </w:r>
      <w:hyperlink r:id="rId2" w:history="1">
        <w:r w:rsidRPr="00E377D2">
          <w:rPr>
            <w:rStyle w:val="af1"/>
            <w:sz w:val="22"/>
            <w:szCs w:val="28"/>
          </w:rPr>
          <w:t>http://soft.cnews.ru/windows/education/scientific_programs/mpriority/</w:t>
        </w:r>
      </w:hyperlink>
      <w:r>
        <w:rPr>
          <w:sz w:val="28"/>
          <w:szCs w:val="28"/>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8217A"/>
    <w:multiLevelType w:val="hybridMultilevel"/>
    <w:tmpl w:val="06A2F7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41B386B"/>
    <w:multiLevelType w:val="hybridMultilevel"/>
    <w:tmpl w:val="375E69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6C0440"/>
    <w:multiLevelType w:val="hybridMultilevel"/>
    <w:tmpl w:val="5040FD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100EB2"/>
    <w:multiLevelType w:val="hybridMultilevel"/>
    <w:tmpl w:val="F5D6CB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D23881"/>
    <w:multiLevelType w:val="hybridMultilevel"/>
    <w:tmpl w:val="F31AF4B6"/>
    <w:lvl w:ilvl="0" w:tplc="0AAA6C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1477274"/>
    <w:multiLevelType w:val="hybridMultilevel"/>
    <w:tmpl w:val="5A0291D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6">
    <w:nsid w:val="172B7726"/>
    <w:multiLevelType w:val="hybridMultilevel"/>
    <w:tmpl w:val="61DA74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594E5F"/>
    <w:multiLevelType w:val="hybridMultilevel"/>
    <w:tmpl w:val="7122C3F8"/>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8">
    <w:nsid w:val="29EE4A6E"/>
    <w:multiLevelType w:val="hybridMultilevel"/>
    <w:tmpl w:val="681A1B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AFD5FB6"/>
    <w:multiLevelType w:val="hybridMultilevel"/>
    <w:tmpl w:val="065C7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C5D3646"/>
    <w:multiLevelType w:val="hybridMultilevel"/>
    <w:tmpl w:val="9D262DA4"/>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1">
    <w:nsid w:val="34E45324"/>
    <w:multiLevelType w:val="hybridMultilevel"/>
    <w:tmpl w:val="BA6E90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5677B0A"/>
    <w:multiLevelType w:val="hybridMultilevel"/>
    <w:tmpl w:val="063EF0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68B4402"/>
    <w:multiLevelType w:val="hybridMultilevel"/>
    <w:tmpl w:val="8ED4E3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9250B72"/>
    <w:multiLevelType w:val="hybridMultilevel"/>
    <w:tmpl w:val="A114E6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9BC1779"/>
    <w:multiLevelType w:val="hybridMultilevel"/>
    <w:tmpl w:val="8D0EC5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26034D"/>
    <w:multiLevelType w:val="hybridMultilevel"/>
    <w:tmpl w:val="C21051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F6C30BE"/>
    <w:multiLevelType w:val="hybridMultilevel"/>
    <w:tmpl w:val="70B65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55352A4F"/>
    <w:multiLevelType w:val="hybridMultilevel"/>
    <w:tmpl w:val="CA361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5C51DA7"/>
    <w:multiLevelType w:val="hybridMultilevel"/>
    <w:tmpl w:val="ACCA2B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73B389F"/>
    <w:multiLevelType w:val="hybridMultilevel"/>
    <w:tmpl w:val="EDE4C9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91D6B0A"/>
    <w:multiLevelType w:val="hybridMultilevel"/>
    <w:tmpl w:val="468272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E291738"/>
    <w:multiLevelType w:val="hybridMultilevel"/>
    <w:tmpl w:val="04023A04"/>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23">
    <w:nsid w:val="6175031B"/>
    <w:multiLevelType w:val="hybridMultilevel"/>
    <w:tmpl w:val="C91CC8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5E84CFF"/>
    <w:multiLevelType w:val="hybridMultilevel"/>
    <w:tmpl w:val="54A49E6E"/>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C6654D8"/>
    <w:multiLevelType w:val="hybridMultilevel"/>
    <w:tmpl w:val="DE1C51D4"/>
    <w:lvl w:ilvl="0" w:tplc="04190001">
      <w:start w:val="1"/>
      <w:numFmt w:val="bullet"/>
      <w:lvlText w:val=""/>
      <w:lvlJc w:val="left"/>
      <w:pPr>
        <w:ind w:left="785" w:hanging="360"/>
      </w:pPr>
      <w:rPr>
        <w:rFonts w:ascii="Symbol" w:hAnsi="Symbol" w:hint="default"/>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26">
    <w:nsid w:val="6D9360A2"/>
    <w:multiLevelType w:val="hybridMultilevel"/>
    <w:tmpl w:val="BE0C67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D0C0961"/>
    <w:multiLevelType w:val="hybridMultilevel"/>
    <w:tmpl w:val="E586FA0A"/>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22"/>
  </w:num>
  <w:num w:numId="4">
    <w:abstractNumId w:val="11"/>
  </w:num>
  <w:num w:numId="5">
    <w:abstractNumId w:val="5"/>
  </w:num>
  <w:num w:numId="6">
    <w:abstractNumId w:val="18"/>
  </w:num>
  <w:num w:numId="7">
    <w:abstractNumId w:val="7"/>
  </w:num>
  <w:num w:numId="8">
    <w:abstractNumId w:val="0"/>
  </w:num>
  <w:num w:numId="9">
    <w:abstractNumId w:val="16"/>
  </w:num>
  <w:num w:numId="10">
    <w:abstractNumId w:val="19"/>
  </w:num>
  <w:num w:numId="11">
    <w:abstractNumId w:val="9"/>
  </w:num>
  <w:num w:numId="12">
    <w:abstractNumId w:val="26"/>
  </w:num>
  <w:num w:numId="13">
    <w:abstractNumId w:val="12"/>
  </w:num>
  <w:num w:numId="14">
    <w:abstractNumId w:val="13"/>
  </w:num>
  <w:num w:numId="15">
    <w:abstractNumId w:val="21"/>
  </w:num>
  <w:num w:numId="16">
    <w:abstractNumId w:val="20"/>
  </w:num>
  <w:num w:numId="17">
    <w:abstractNumId w:val="25"/>
  </w:num>
  <w:num w:numId="18">
    <w:abstractNumId w:val="10"/>
  </w:num>
  <w:num w:numId="19">
    <w:abstractNumId w:val="8"/>
  </w:num>
  <w:num w:numId="20">
    <w:abstractNumId w:val="23"/>
  </w:num>
  <w:num w:numId="21">
    <w:abstractNumId w:val="27"/>
  </w:num>
  <w:num w:numId="22">
    <w:abstractNumId w:val="24"/>
  </w:num>
  <w:num w:numId="23">
    <w:abstractNumId w:val="1"/>
  </w:num>
  <w:num w:numId="24">
    <w:abstractNumId w:val="15"/>
  </w:num>
  <w:num w:numId="25">
    <w:abstractNumId w:val="17"/>
  </w:num>
  <w:num w:numId="26">
    <w:abstractNumId w:val="14"/>
  </w:num>
  <w:num w:numId="27">
    <w:abstractNumId w:val="3"/>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6B0B"/>
    <w:rsid w:val="00000988"/>
    <w:rsid w:val="0000180E"/>
    <w:rsid w:val="00003DB1"/>
    <w:rsid w:val="00003FBA"/>
    <w:rsid w:val="00004281"/>
    <w:rsid w:val="00005614"/>
    <w:rsid w:val="00005BE3"/>
    <w:rsid w:val="000067D3"/>
    <w:rsid w:val="00007371"/>
    <w:rsid w:val="00007CFB"/>
    <w:rsid w:val="00010D73"/>
    <w:rsid w:val="000129C0"/>
    <w:rsid w:val="00012DD9"/>
    <w:rsid w:val="0001355D"/>
    <w:rsid w:val="000135B3"/>
    <w:rsid w:val="00015E63"/>
    <w:rsid w:val="00016E6A"/>
    <w:rsid w:val="00017A1F"/>
    <w:rsid w:val="0002355B"/>
    <w:rsid w:val="000350DF"/>
    <w:rsid w:val="0004648F"/>
    <w:rsid w:val="00047BA6"/>
    <w:rsid w:val="00047E47"/>
    <w:rsid w:val="0005046C"/>
    <w:rsid w:val="00052124"/>
    <w:rsid w:val="0005564F"/>
    <w:rsid w:val="00055F2A"/>
    <w:rsid w:val="00056AFD"/>
    <w:rsid w:val="0006182B"/>
    <w:rsid w:val="000650DD"/>
    <w:rsid w:val="000665C5"/>
    <w:rsid w:val="00066A30"/>
    <w:rsid w:val="000713C2"/>
    <w:rsid w:val="00073855"/>
    <w:rsid w:val="00073C83"/>
    <w:rsid w:val="000749E1"/>
    <w:rsid w:val="0007745E"/>
    <w:rsid w:val="00083187"/>
    <w:rsid w:val="00085B8B"/>
    <w:rsid w:val="00086D67"/>
    <w:rsid w:val="000926EF"/>
    <w:rsid w:val="00092C47"/>
    <w:rsid w:val="00093C62"/>
    <w:rsid w:val="00094490"/>
    <w:rsid w:val="00096068"/>
    <w:rsid w:val="00097441"/>
    <w:rsid w:val="000A5241"/>
    <w:rsid w:val="000A7526"/>
    <w:rsid w:val="000B0633"/>
    <w:rsid w:val="000B1C2A"/>
    <w:rsid w:val="000B2813"/>
    <w:rsid w:val="000B3479"/>
    <w:rsid w:val="000B3557"/>
    <w:rsid w:val="000B48AB"/>
    <w:rsid w:val="000B4CF5"/>
    <w:rsid w:val="000C0522"/>
    <w:rsid w:val="000C19DC"/>
    <w:rsid w:val="000C2385"/>
    <w:rsid w:val="000C5EA7"/>
    <w:rsid w:val="000D0EEA"/>
    <w:rsid w:val="000D18C9"/>
    <w:rsid w:val="000D4687"/>
    <w:rsid w:val="000D6B0B"/>
    <w:rsid w:val="000D7DE6"/>
    <w:rsid w:val="000E3415"/>
    <w:rsid w:val="000E6B33"/>
    <w:rsid w:val="000F0388"/>
    <w:rsid w:val="000F2C0D"/>
    <w:rsid w:val="000F329E"/>
    <w:rsid w:val="000F4D6B"/>
    <w:rsid w:val="00100993"/>
    <w:rsid w:val="0010285A"/>
    <w:rsid w:val="0010648B"/>
    <w:rsid w:val="00106AA0"/>
    <w:rsid w:val="00111C58"/>
    <w:rsid w:val="0011436C"/>
    <w:rsid w:val="00115683"/>
    <w:rsid w:val="0011611B"/>
    <w:rsid w:val="00117C6D"/>
    <w:rsid w:val="001203EF"/>
    <w:rsid w:val="0012373A"/>
    <w:rsid w:val="0012383D"/>
    <w:rsid w:val="0012389E"/>
    <w:rsid w:val="001247D2"/>
    <w:rsid w:val="00124EBD"/>
    <w:rsid w:val="00125222"/>
    <w:rsid w:val="00125A91"/>
    <w:rsid w:val="001262FA"/>
    <w:rsid w:val="001263FE"/>
    <w:rsid w:val="00127601"/>
    <w:rsid w:val="001304AC"/>
    <w:rsid w:val="001311F5"/>
    <w:rsid w:val="001328DD"/>
    <w:rsid w:val="00132F8B"/>
    <w:rsid w:val="00134F6B"/>
    <w:rsid w:val="00137AED"/>
    <w:rsid w:val="00140707"/>
    <w:rsid w:val="001412A0"/>
    <w:rsid w:val="001433AE"/>
    <w:rsid w:val="001439F3"/>
    <w:rsid w:val="00144AB2"/>
    <w:rsid w:val="00146414"/>
    <w:rsid w:val="001512A3"/>
    <w:rsid w:val="00152742"/>
    <w:rsid w:val="001527E6"/>
    <w:rsid w:val="001531D2"/>
    <w:rsid w:val="00155689"/>
    <w:rsid w:val="00161714"/>
    <w:rsid w:val="001636B2"/>
    <w:rsid w:val="00165E45"/>
    <w:rsid w:val="00170A64"/>
    <w:rsid w:val="00173E48"/>
    <w:rsid w:val="00174549"/>
    <w:rsid w:val="001745F0"/>
    <w:rsid w:val="00174EFA"/>
    <w:rsid w:val="00175F1E"/>
    <w:rsid w:val="00180332"/>
    <w:rsid w:val="001824C6"/>
    <w:rsid w:val="0018250A"/>
    <w:rsid w:val="00184325"/>
    <w:rsid w:val="0018512F"/>
    <w:rsid w:val="00187850"/>
    <w:rsid w:val="00192F89"/>
    <w:rsid w:val="00193033"/>
    <w:rsid w:val="001951BD"/>
    <w:rsid w:val="00195520"/>
    <w:rsid w:val="0019581D"/>
    <w:rsid w:val="001A00B6"/>
    <w:rsid w:val="001A0F9D"/>
    <w:rsid w:val="001A16A9"/>
    <w:rsid w:val="001A545C"/>
    <w:rsid w:val="001A584B"/>
    <w:rsid w:val="001B0933"/>
    <w:rsid w:val="001B1D90"/>
    <w:rsid w:val="001B6217"/>
    <w:rsid w:val="001B791B"/>
    <w:rsid w:val="001C1D9C"/>
    <w:rsid w:val="001C6B20"/>
    <w:rsid w:val="001D0C4C"/>
    <w:rsid w:val="001D206E"/>
    <w:rsid w:val="001D33CD"/>
    <w:rsid w:val="001D42C2"/>
    <w:rsid w:val="001D6202"/>
    <w:rsid w:val="001D63A3"/>
    <w:rsid w:val="001E2D91"/>
    <w:rsid w:val="001E36DF"/>
    <w:rsid w:val="001E4DE6"/>
    <w:rsid w:val="001E6182"/>
    <w:rsid w:val="001E78D6"/>
    <w:rsid w:val="001E7B0D"/>
    <w:rsid w:val="001F0D3A"/>
    <w:rsid w:val="001F70CF"/>
    <w:rsid w:val="001F7C2F"/>
    <w:rsid w:val="00200424"/>
    <w:rsid w:val="00204A50"/>
    <w:rsid w:val="00207921"/>
    <w:rsid w:val="00212C0A"/>
    <w:rsid w:val="00214B6C"/>
    <w:rsid w:val="00215F02"/>
    <w:rsid w:val="00216868"/>
    <w:rsid w:val="00220770"/>
    <w:rsid w:val="00222963"/>
    <w:rsid w:val="00223382"/>
    <w:rsid w:val="00224F12"/>
    <w:rsid w:val="0022698F"/>
    <w:rsid w:val="00226BA5"/>
    <w:rsid w:val="00227AE1"/>
    <w:rsid w:val="00231F25"/>
    <w:rsid w:val="002432DF"/>
    <w:rsid w:val="00246259"/>
    <w:rsid w:val="00250FA6"/>
    <w:rsid w:val="00253ED2"/>
    <w:rsid w:val="00257440"/>
    <w:rsid w:val="00257744"/>
    <w:rsid w:val="00262D0D"/>
    <w:rsid w:val="00263B4D"/>
    <w:rsid w:val="00266C23"/>
    <w:rsid w:val="00273F49"/>
    <w:rsid w:val="0027420A"/>
    <w:rsid w:val="00275C22"/>
    <w:rsid w:val="00280CE6"/>
    <w:rsid w:val="00282AB6"/>
    <w:rsid w:val="00284636"/>
    <w:rsid w:val="00285089"/>
    <w:rsid w:val="00285830"/>
    <w:rsid w:val="0028627C"/>
    <w:rsid w:val="00287D71"/>
    <w:rsid w:val="00290A19"/>
    <w:rsid w:val="00294BE9"/>
    <w:rsid w:val="002A1838"/>
    <w:rsid w:val="002A41A1"/>
    <w:rsid w:val="002A51FC"/>
    <w:rsid w:val="002A7B19"/>
    <w:rsid w:val="002A7EAA"/>
    <w:rsid w:val="002B0927"/>
    <w:rsid w:val="002B1189"/>
    <w:rsid w:val="002B3A38"/>
    <w:rsid w:val="002B61DE"/>
    <w:rsid w:val="002B6457"/>
    <w:rsid w:val="002C1546"/>
    <w:rsid w:val="002C2C3B"/>
    <w:rsid w:val="002C42A6"/>
    <w:rsid w:val="002C4F6D"/>
    <w:rsid w:val="002C53F1"/>
    <w:rsid w:val="002C6B31"/>
    <w:rsid w:val="002D0534"/>
    <w:rsid w:val="002D1C7C"/>
    <w:rsid w:val="002D20BB"/>
    <w:rsid w:val="002D285C"/>
    <w:rsid w:val="002D3B38"/>
    <w:rsid w:val="002D407C"/>
    <w:rsid w:val="002D468F"/>
    <w:rsid w:val="002D497B"/>
    <w:rsid w:val="002D6168"/>
    <w:rsid w:val="002D7557"/>
    <w:rsid w:val="002E2D8F"/>
    <w:rsid w:val="002E3D9B"/>
    <w:rsid w:val="002E4226"/>
    <w:rsid w:val="002E4A48"/>
    <w:rsid w:val="002F0DA8"/>
    <w:rsid w:val="002F55A3"/>
    <w:rsid w:val="002F61CA"/>
    <w:rsid w:val="002F679A"/>
    <w:rsid w:val="002F797C"/>
    <w:rsid w:val="00300A5B"/>
    <w:rsid w:val="003010A1"/>
    <w:rsid w:val="003010FA"/>
    <w:rsid w:val="003018D3"/>
    <w:rsid w:val="00301F7F"/>
    <w:rsid w:val="00303A2F"/>
    <w:rsid w:val="003043F3"/>
    <w:rsid w:val="00304BC7"/>
    <w:rsid w:val="003059C2"/>
    <w:rsid w:val="0030613E"/>
    <w:rsid w:val="003065DD"/>
    <w:rsid w:val="003069CA"/>
    <w:rsid w:val="00310D2E"/>
    <w:rsid w:val="00311BC0"/>
    <w:rsid w:val="00314EEF"/>
    <w:rsid w:val="003166EC"/>
    <w:rsid w:val="0031694E"/>
    <w:rsid w:val="00316B64"/>
    <w:rsid w:val="00317BB9"/>
    <w:rsid w:val="0032012D"/>
    <w:rsid w:val="00321736"/>
    <w:rsid w:val="00322382"/>
    <w:rsid w:val="0032269C"/>
    <w:rsid w:val="003249CE"/>
    <w:rsid w:val="00325C6B"/>
    <w:rsid w:val="00326D55"/>
    <w:rsid w:val="00326E31"/>
    <w:rsid w:val="003273D4"/>
    <w:rsid w:val="00336BA0"/>
    <w:rsid w:val="003413A9"/>
    <w:rsid w:val="00341447"/>
    <w:rsid w:val="00343D5F"/>
    <w:rsid w:val="00344044"/>
    <w:rsid w:val="00344E14"/>
    <w:rsid w:val="003450BE"/>
    <w:rsid w:val="00345A03"/>
    <w:rsid w:val="00345EC4"/>
    <w:rsid w:val="00346C1D"/>
    <w:rsid w:val="00346E5B"/>
    <w:rsid w:val="00352F0F"/>
    <w:rsid w:val="00353107"/>
    <w:rsid w:val="003611F9"/>
    <w:rsid w:val="00364EBE"/>
    <w:rsid w:val="00366F0E"/>
    <w:rsid w:val="003702C3"/>
    <w:rsid w:val="003712FA"/>
    <w:rsid w:val="00375BBC"/>
    <w:rsid w:val="0037613A"/>
    <w:rsid w:val="00376C25"/>
    <w:rsid w:val="0038179B"/>
    <w:rsid w:val="00381C08"/>
    <w:rsid w:val="00382600"/>
    <w:rsid w:val="003853BD"/>
    <w:rsid w:val="00386EA9"/>
    <w:rsid w:val="00393FA9"/>
    <w:rsid w:val="0039563A"/>
    <w:rsid w:val="003A0171"/>
    <w:rsid w:val="003A0319"/>
    <w:rsid w:val="003A59BA"/>
    <w:rsid w:val="003A6A06"/>
    <w:rsid w:val="003A71F2"/>
    <w:rsid w:val="003B08D6"/>
    <w:rsid w:val="003B1942"/>
    <w:rsid w:val="003B2681"/>
    <w:rsid w:val="003B3774"/>
    <w:rsid w:val="003B4036"/>
    <w:rsid w:val="003B6B32"/>
    <w:rsid w:val="003B75B7"/>
    <w:rsid w:val="003C0B8A"/>
    <w:rsid w:val="003C6209"/>
    <w:rsid w:val="003C6303"/>
    <w:rsid w:val="003C6E28"/>
    <w:rsid w:val="003D1A15"/>
    <w:rsid w:val="003E154A"/>
    <w:rsid w:val="003E2BA0"/>
    <w:rsid w:val="003E32B3"/>
    <w:rsid w:val="003E33C4"/>
    <w:rsid w:val="003E5207"/>
    <w:rsid w:val="003F0AF7"/>
    <w:rsid w:val="003F6BD0"/>
    <w:rsid w:val="004011DA"/>
    <w:rsid w:val="004014F3"/>
    <w:rsid w:val="00412BE1"/>
    <w:rsid w:val="0041579F"/>
    <w:rsid w:val="00415E6D"/>
    <w:rsid w:val="00416B16"/>
    <w:rsid w:val="00420387"/>
    <w:rsid w:val="004205F6"/>
    <w:rsid w:val="00421831"/>
    <w:rsid w:val="00422396"/>
    <w:rsid w:val="0042732C"/>
    <w:rsid w:val="0043190A"/>
    <w:rsid w:val="0043272C"/>
    <w:rsid w:val="00433154"/>
    <w:rsid w:val="00450E01"/>
    <w:rsid w:val="00453FAF"/>
    <w:rsid w:val="004634F0"/>
    <w:rsid w:val="004637E9"/>
    <w:rsid w:val="00465905"/>
    <w:rsid w:val="00465F07"/>
    <w:rsid w:val="00470083"/>
    <w:rsid w:val="004714D0"/>
    <w:rsid w:val="00472EF4"/>
    <w:rsid w:val="00474019"/>
    <w:rsid w:val="004748DC"/>
    <w:rsid w:val="0048168B"/>
    <w:rsid w:val="00486FAC"/>
    <w:rsid w:val="004935D4"/>
    <w:rsid w:val="00494077"/>
    <w:rsid w:val="0049610B"/>
    <w:rsid w:val="004979A9"/>
    <w:rsid w:val="004A21E2"/>
    <w:rsid w:val="004A34F8"/>
    <w:rsid w:val="004A3C9A"/>
    <w:rsid w:val="004A3FA2"/>
    <w:rsid w:val="004A672C"/>
    <w:rsid w:val="004B274B"/>
    <w:rsid w:val="004B598A"/>
    <w:rsid w:val="004B698C"/>
    <w:rsid w:val="004C59F3"/>
    <w:rsid w:val="004C5B49"/>
    <w:rsid w:val="004C6AE3"/>
    <w:rsid w:val="004C6CAE"/>
    <w:rsid w:val="004C6DB7"/>
    <w:rsid w:val="004C794F"/>
    <w:rsid w:val="004D288E"/>
    <w:rsid w:val="004D4B33"/>
    <w:rsid w:val="004D4DCF"/>
    <w:rsid w:val="004D5C44"/>
    <w:rsid w:val="004E01C7"/>
    <w:rsid w:val="004E2397"/>
    <w:rsid w:val="004E3867"/>
    <w:rsid w:val="004E3BEE"/>
    <w:rsid w:val="004E3D6B"/>
    <w:rsid w:val="004F058C"/>
    <w:rsid w:val="004F100C"/>
    <w:rsid w:val="004F3623"/>
    <w:rsid w:val="004F7FCE"/>
    <w:rsid w:val="005005F8"/>
    <w:rsid w:val="00503815"/>
    <w:rsid w:val="0050486B"/>
    <w:rsid w:val="00505D88"/>
    <w:rsid w:val="0051209D"/>
    <w:rsid w:val="00512258"/>
    <w:rsid w:val="00521307"/>
    <w:rsid w:val="0052392B"/>
    <w:rsid w:val="005252A8"/>
    <w:rsid w:val="00532BD4"/>
    <w:rsid w:val="00533586"/>
    <w:rsid w:val="005376BE"/>
    <w:rsid w:val="00540C15"/>
    <w:rsid w:val="005472A7"/>
    <w:rsid w:val="005528FE"/>
    <w:rsid w:val="00552C51"/>
    <w:rsid w:val="005536F8"/>
    <w:rsid w:val="00554604"/>
    <w:rsid w:val="00557603"/>
    <w:rsid w:val="00560436"/>
    <w:rsid w:val="00560837"/>
    <w:rsid w:val="00561D7B"/>
    <w:rsid w:val="00562984"/>
    <w:rsid w:val="0056339D"/>
    <w:rsid w:val="00565DA9"/>
    <w:rsid w:val="005672CE"/>
    <w:rsid w:val="005725C6"/>
    <w:rsid w:val="00572ABB"/>
    <w:rsid w:val="00573D8B"/>
    <w:rsid w:val="0057642C"/>
    <w:rsid w:val="00577B40"/>
    <w:rsid w:val="00581A58"/>
    <w:rsid w:val="0058419F"/>
    <w:rsid w:val="00587739"/>
    <w:rsid w:val="0058784F"/>
    <w:rsid w:val="00587ECA"/>
    <w:rsid w:val="00593271"/>
    <w:rsid w:val="00595469"/>
    <w:rsid w:val="00596D9D"/>
    <w:rsid w:val="005974D4"/>
    <w:rsid w:val="005A4166"/>
    <w:rsid w:val="005A4437"/>
    <w:rsid w:val="005A4F84"/>
    <w:rsid w:val="005B10FD"/>
    <w:rsid w:val="005B3203"/>
    <w:rsid w:val="005B5514"/>
    <w:rsid w:val="005B5BE7"/>
    <w:rsid w:val="005B7053"/>
    <w:rsid w:val="005B7A7F"/>
    <w:rsid w:val="005C15D0"/>
    <w:rsid w:val="005C3D96"/>
    <w:rsid w:val="005C6BD0"/>
    <w:rsid w:val="005D08C7"/>
    <w:rsid w:val="005D5086"/>
    <w:rsid w:val="005E10B9"/>
    <w:rsid w:val="005E3A5E"/>
    <w:rsid w:val="005E55D2"/>
    <w:rsid w:val="005E7920"/>
    <w:rsid w:val="005F143D"/>
    <w:rsid w:val="005F25B0"/>
    <w:rsid w:val="005F2F2D"/>
    <w:rsid w:val="005F335F"/>
    <w:rsid w:val="005F5AC3"/>
    <w:rsid w:val="005F5D7A"/>
    <w:rsid w:val="005F7670"/>
    <w:rsid w:val="006054B0"/>
    <w:rsid w:val="00610481"/>
    <w:rsid w:val="00610BC2"/>
    <w:rsid w:val="00610F40"/>
    <w:rsid w:val="006163AB"/>
    <w:rsid w:val="00621433"/>
    <w:rsid w:val="00623D23"/>
    <w:rsid w:val="00623DC1"/>
    <w:rsid w:val="0062644D"/>
    <w:rsid w:val="00644442"/>
    <w:rsid w:val="00645BAF"/>
    <w:rsid w:val="00646151"/>
    <w:rsid w:val="00647D19"/>
    <w:rsid w:val="006505E6"/>
    <w:rsid w:val="00651BD9"/>
    <w:rsid w:val="006528F3"/>
    <w:rsid w:val="00653224"/>
    <w:rsid w:val="00653692"/>
    <w:rsid w:val="0066041B"/>
    <w:rsid w:val="0066146C"/>
    <w:rsid w:val="006728A8"/>
    <w:rsid w:val="00673A2E"/>
    <w:rsid w:val="00683C5B"/>
    <w:rsid w:val="006855DD"/>
    <w:rsid w:val="00686D98"/>
    <w:rsid w:val="00690793"/>
    <w:rsid w:val="00690D90"/>
    <w:rsid w:val="00693464"/>
    <w:rsid w:val="00693E8D"/>
    <w:rsid w:val="00695FA7"/>
    <w:rsid w:val="00696038"/>
    <w:rsid w:val="006A17BF"/>
    <w:rsid w:val="006A3B75"/>
    <w:rsid w:val="006B022F"/>
    <w:rsid w:val="006B12E3"/>
    <w:rsid w:val="006B3709"/>
    <w:rsid w:val="006B443B"/>
    <w:rsid w:val="006C31D6"/>
    <w:rsid w:val="006C45A8"/>
    <w:rsid w:val="006C5540"/>
    <w:rsid w:val="006C66BD"/>
    <w:rsid w:val="006C7692"/>
    <w:rsid w:val="006D0370"/>
    <w:rsid w:val="006D0427"/>
    <w:rsid w:val="006D0C64"/>
    <w:rsid w:val="006D20A0"/>
    <w:rsid w:val="006D57B5"/>
    <w:rsid w:val="006D65B2"/>
    <w:rsid w:val="006E16EC"/>
    <w:rsid w:val="006E29C0"/>
    <w:rsid w:val="006E318A"/>
    <w:rsid w:val="006E3716"/>
    <w:rsid w:val="006E5568"/>
    <w:rsid w:val="006E7201"/>
    <w:rsid w:val="006E7AB9"/>
    <w:rsid w:val="006F21E2"/>
    <w:rsid w:val="006F52D9"/>
    <w:rsid w:val="006F5FB5"/>
    <w:rsid w:val="00700232"/>
    <w:rsid w:val="00706A20"/>
    <w:rsid w:val="00706C7A"/>
    <w:rsid w:val="007074DB"/>
    <w:rsid w:val="0071356B"/>
    <w:rsid w:val="007141CE"/>
    <w:rsid w:val="00714A7F"/>
    <w:rsid w:val="00714B07"/>
    <w:rsid w:val="00714DCF"/>
    <w:rsid w:val="00716283"/>
    <w:rsid w:val="007164B8"/>
    <w:rsid w:val="00720CAF"/>
    <w:rsid w:val="00720F5D"/>
    <w:rsid w:val="007219F2"/>
    <w:rsid w:val="007274AE"/>
    <w:rsid w:val="007300BC"/>
    <w:rsid w:val="00730BC6"/>
    <w:rsid w:val="00737FE6"/>
    <w:rsid w:val="007400CC"/>
    <w:rsid w:val="0074070B"/>
    <w:rsid w:val="00740D8D"/>
    <w:rsid w:val="007424FE"/>
    <w:rsid w:val="00746AE4"/>
    <w:rsid w:val="00751BEE"/>
    <w:rsid w:val="00761B21"/>
    <w:rsid w:val="00762C4A"/>
    <w:rsid w:val="00763078"/>
    <w:rsid w:val="00763C31"/>
    <w:rsid w:val="00764E71"/>
    <w:rsid w:val="00767D01"/>
    <w:rsid w:val="00770C90"/>
    <w:rsid w:val="00772423"/>
    <w:rsid w:val="00773417"/>
    <w:rsid w:val="007735D9"/>
    <w:rsid w:val="007742F1"/>
    <w:rsid w:val="00775257"/>
    <w:rsid w:val="00776849"/>
    <w:rsid w:val="00780700"/>
    <w:rsid w:val="00783E01"/>
    <w:rsid w:val="00786F72"/>
    <w:rsid w:val="00790049"/>
    <w:rsid w:val="00791E75"/>
    <w:rsid w:val="00797929"/>
    <w:rsid w:val="007A1A50"/>
    <w:rsid w:val="007A412A"/>
    <w:rsid w:val="007B255B"/>
    <w:rsid w:val="007B531F"/>
    <w:rsid w:val="007B745D"/>
    <w:rsid w:val="007C1729"/>
    <w:rsid w:val="007C19EC"/>
    <w:rsid w:val="007C40C0"/>
    <w:rsid w:val="007C43AE"/>
    <w:rsid w:val="007C535A"/>
    <w:rsid w:val="007C5F2F"/>
    <w:rsid w:val="007C6452"/>
    <w:rsid w:val="007C64F7"/>
    <w:rsid w:val="007C7790"/>
    <w:rsid w:val="007D3314"/>
    <w:rsid w:val="007D5462"/>
    <w:rsid w:val="007D58D0"/>
    <w:rsid w:val="007D73DA"/>
    <w:rsid w:val="007E0032"/>
    <w:rsid w:val="007E379C"/>
    <w:rsid w:val="007F038A"/>
    <w:rsid w:val="007F2BFD"/>
    <w:rsid w:val="007F2C30"/>
    <w:rsid w:val="007F2E59"/>
    <w:rsid w:val="007F4AB9"/>
    <w:rsid w:val="007F74B0"/>
    <w:rsid w:val="007F7955"/>
    <w:rsid w:val="00801124"/>
    <w:rsid w:val="00802A97"/>
    <w:rsid w:val="00804C8C"/>
    <w:rsid w:val="00807B49"/>
    <w:rsid w:val="00814DC6"/>
    <w:rsid w:val="00817744"/>
    <w:rsid w:val="008200E5"/>
    <w:rsid w:val="0082089D"/>
    <w:rsid w:val="00820DB6"/>
    <w:rsid w:val="00823C07"/>
    <w:rsid w:val="00824F0B"/>
    <w:rsid w:val="00826209"/>
    <w:rsid w:val="008273AD"/>
    <w:rsid w:val="008302D9"/>
    <w:rsid w:val="00833DE2"/>
    <w:rsid w:val="00835DB9"/>
    <w:rsid w:val="00836755"/>
    <w:rsid w:val="008375F8"/>
    <w:rsid w:val="00840DEE"/>
    <w:rsid w:val="008429CE"/>
    <w:rsid w:val="00844F86"/>
    <w:rsid w:val="008500FA"/>
    <w:rsid w:val="0085173E"/>
    <w:rsid w:val="00855FA2"/>
    <w:rsid w:val="00856569"/>
    <w:rsid w:val="0086326C"/>
    <w:rsid w:val="00864EC4"/>
    <w:rsid w:val="008705F2"/>
    <w:rsid w:val="00875318"/>
    <w:rsid w:val="008753D6"/>
    <w:rsid w:val="00875816"/>
    <w:rsid w:val="00877810"/>
    <w:rsid w:val="00877CFE"/>
    <w:rsid w:val="00880268"/>
    <w:rsid w:val="00880E75"/>
    <w:rsid w:val="00883AA9"/>
    <w:rsid w:val="00885485"/>
    <w:rsid w:val="0088735F"/>
    <w:rsid w:val="00891196"/>
    <w:rsid w:val="008942A2"/>
    <w:rsid w:val="00894A52"/>
    <w:rsid w:val="008A011D"/>
    <w:rsid w:val="008A0494"/>
    <w:rsid w:val="008A2AA2"/>
    <w:rsid w:val="008A472B"/>
    <w:rsid w:val="008A4E20"/>
    <w:rsid w:val="008A553E"/>
    <w:rsid w:val="008A7EC1"/>
    <w:rsid w:val="008B1389"/>
    <w:rsid w:val="008B2A45"/>
    <w:rsid w:val="008C139C"/>
    <w:rsid w:val="008C2035"/>
    <w:rsid w:val="008C385A"/>
    <w:rsid w:val="008C46EE"/>
    <w:rsid w:val="008C4F9E"/>
    <w:rsid w:val="008C6FE0"/>
    <w:rsid w:val="008D5D14"/>
    <w:rsid w:val="008D7B6D"/>
    <w:rsid w:val="008E08A1"/>
    <w:rsid w:val="008E09C4"/>
    <w:rsid w:val="008E6C63"/>
    <w:rsid w:val="008F1804"/>
    <w:rsid w:val="008F287B"/>
    <w:rsid w:val="008F2968"/>
    <w:rsid w:val="008F2E49"/>
    <w:rsid w:val="008F3274"/>
    <w:rsid w:val="008F6B38"/>
    <w:rsid w:val="008F7FE0"/>
    <w:rsid w:val="00900A5E"/>
    <w:rsid w:val="00904134"/>
    <w:rsid w:val="00904DF1"/>
    <w:rsid w:val="00911B16"/>
    <w:rsid w:val="009216AB"/>
    <w:rsid w:val="0093325A"/>
    <w:rsid w:val="00934D25"/>
    <w:rsid w:val="00935445"/>
    <w:rsid w:val="009357EC"/>
    <w:rsid w:val="00935AB5"/>
    <w:rsid w:val="009378BF"/>
    <w:rsid w:val="009378DB"/>
    <w:rsid w:val="009417D7"/>
    <w:rsid w:val="00941BDB"/>
    <w:rsid w:val="00943354"/>
    <w:rsid w:val="00945ACC"/>
    <w:rsid w:val="00950ABF"/>
    <w:rsid w:val="00953005"/>
    <w:rsid w:val="009531C5"/>
    <w:rsid w:val="0095468C"/>
    <w:rsid w:val="00956791"/>
    <w:rsid w:val="00960DCD"/>
    <w:rsid w:val="00961433"/>
    <w:rsid w:val="00962C4B"/>
    <w:rsid w:val="00966BDB"/>
    <w:rsid w:val="009671F6"/>
    <w:rsid w:val="00967D5A"/>
    <w:rsid w:val="009725E0"/>
    <w:rsid w:val="009735D7"/>
    <w:rsid w:val="00977344"/>
    <w:rsid w:val="00980A70"/>
    <w:rsid w:val="0098575F"/>
    <w:rsid w:val="0099132D"/>
    <w:rsid w:val="00993370"/>
    <w:rsid w:val="00993D28"/>
    <w:rsid w:val="009A1C53"/>
    <w:rsid w:val="009A1EFF"/>
    <w:rsid w:val="009A4363"/>
    <w:rsid w:val="009B1ECD"/>
    <w:rsid w:val="009B3D62"/>
    <w:rsid w:val="009B70AB"/>
    <w:rsid w:val="009B799E"/>
    <w:rsid w:val="009C1D54"/>
    <w:rsid w:val="009C3A3E"/>
    <w:rsid w:val="009C6027"/>
    <w:rsid w:val="009C67A6"/>
    <w:rsid w:val="009C693E"/>
    <w:rsid w:val="009D08AC"/>
    <w:rsid w:val="009D1B09"/>
    <w:rsid w:val="009D283E"/>
    <w:rsid w:val="009D3ABC"/>
    <w:rsid w:val="009D6507"/>
    <w:rsid w:val="009E0884"/>
    <w:rsid w:val="009E2B98"/>
    <w:rsid w:val="009E7DD1"/>
    <w:rsid w:val="009F2303"/>
    <w:rsid w:val="009F2DB2"/>
    <w:rsid w:val="009F2F26"/>
    <w:rsid w:val="009F4AF2"/>
    <w:rsid w:val="009F54EC"/>
    <w:rsid w:val="009F5FE8"/>
    <w:rsid w:val="009F63F3"/>
    <w:rsid w:val="009F7C94"/>
    <w:rsid w:val="00A05F1A"/>
    <w:rsid w:val="00A0602A"/>
    <w:rsid w:val="00A075BE"/>
    <w:rsid w:val="00A10169"/>
    <w:rsid w:val="00A107C1"/>
    <w:rsid w:val="00A11141"/>
    <w:rsid w:val="00A11BA1"/>
    <w:rsid w:val="00A13D0A"/>
    <w:rsid w:val="00A1440A"/>
    <w:rsid w:val="00A15351"/>
    <w:rsid w:val="00A219E1"/>
    <w:rsid w:val="00A23336"/>
    <w:rsid w:val="00A34E4A"/>
    <w:rsid w:val="00A36050"/>
    <w:rsid w:val="00A36D68"/>
    <w:rsid w:val="00A40C96"/>
    <w:rsid w:val="00A43D8B"/>
    <w:rsid w:val="00A45A57"/>
    <w:rsid w:val="00A47062"/>
    <w:rsid w:val="00A507D0"/>
    <w:rsid w:val="00A510AF"/>
    <w:rsid w:val="00A52CDD"/>
    <w:rsid w:val="00A55C25"/>
    <w:rsid w:val="00A55F6D"/>
    <w:rsid w:val="00A6055E"/>
    <w:rsid w:val="00A63C2D"/>
    <w:rsid w:val="00A65093"/>
    <w:rsid w:val="00A70DDD"/>
    <w:rsid w:val="00A73F71"/>
    <w:rsid w:val="00A74E2D"/>
    <w:rsid w:val="00A77AED"/>
    <w:rsid w:val="00A77C22"/>
    <w:rsid w:val="00A832DB"/>
    <w:rsid w:val="00A84BC9"/>
    <w:rsid w:val="00A8524B"/>
    <w:rsid w:val="00A87E4F"/>
    <w:rsid w:val="00A90CF2"/>
    <w:rsid w:val="00A911A0"/>
    <w:rsid w:val="00A920E4"/>
    <w:rsid w:val="00A93803"/>
    <w:rsid w:val="00A96D4A"/>
    <w:rsid w:val="00AA09D4"/>
    <w:rsid w:val="00AA0B04"/>
    <w:rsid w:val="00AA2D7E"/>
    <w:rsid w:val="00AA57C0"/>
    <w:rsid w:val="00AA7039"/>
    <w:rsid w:val="00AB1383"/>
    <w:rsid w:val="00AB1BF6"/>
    <w:rsid w:val="00AB2EB6"/>
    <w:rsid w:val="00AB417B"/>
    <w:rsid w:val="00AB5B06"/>
    <w:rsid w:val="00AC1290"/>
    <w:rsid w:val="00AC4F52"/>
    <w:rsid w:val="00AD1F72"/>
    <w:rsid w:val="00AD3952"/>
    <w:rsid w:val="00AD45A2"/>
    <w:rsid w:val="00AD508D"/>
    <w:rsid w:val="00AE1267"/>
    <w:rsid w:val="00AE146B"/>
    <w:rsid w:val="00AE1517"/>
    <w:rsid w:val="00AE2EA5"/>
    <w:rsid w:val="00AE408F"/>
    <w:rsid w:val="00AE69E3"/>
    <w:rsid w:val="00AE793E"/>
    <w:rsid w:val="00AF3F0A"/>
    <w:rsid w:val="00AF74BB"/>
    <w:rsid w:val="00B0209D"/>
    <w:rsid w:val="00B029E2"/>
    <w:rsid w:val="00B03349"/>
    <w:rsid w:val="00B0376F"/>
    <w:rsid w:val="00B055E2"/>
    <w:rsid w:val="00B10AFB"/>
    <w:rsid w:val="00B14F5D"/>
    <w:rsid w:val="00B16CBA"/>
    <w:rsid w:val="00B211CA"/>
    <w:rsid w:val="00B21444"/>
    <w:rsid w:val="00B27EBE"/>
    <w:rsid w:val="00B346BA"/>
    <w:rsid w:val="00B34ECD"/>
    <w:rsid w:val="00B417AF"/>
    <w:rsid w:val="00B423A1"/>
    <w:rsid w:val="00B44AF5"/>
    <w:rsid w:val="00B45A13"/>
    <w:rsid w:val="00B479BE"/>
    <w:rsid w:val="00B50E35"/>
    <w:rsid w:val="00B51C8D"/>
    <w:rsid w:val="00B5477F"/>
    <w:rsid w:val="00B60833"/>
    <w:rsid w:val="00B62868"/>
    <w:rsid w:val="00B650F7"/>
    <w:rsid w:val="00B6736D"/>
    <w:rsid w:val="00B708B8"/>
    <w:rsid w:val="00B70D5E"/>
    <w:rsid w:val="00B71BC8"/>
    <w:rsid w:val="00B73AEA"/>
    <w:rsid w:val="00B7531A"/>
    <w:rsid w:val="00B77483"/>
    <w:rsid w:val="00B82B2E"/>
    <w:rsid w:val="00B836D2"/>
    <w:rsid w:val="00B83DF8"/>
    <w:rsid w:val="00B85FF5"/>
    <w:rsid w:val="00B86555"/>
    <w:rsid w:val="00B86C36"/>
    <w:rsid w:val="00B92B2A"/>
    <w:rsid w:val="00B93242"/>
    <w:rsid w:val="00B9561B"/>
    <w:rsid w:val="00B96251"/>
    <w:rsid w:val="00B96AB9"/>
    <w:rsid w:val="00BA1042"/>
    <w:rsid w:val="00BA38FB"/>
    <w:rsid w:val="00BA472A"/>
    <w:rsid w:val="00BA6CB0"/>
    <w:rsid w:val="00BB0B09"/>
    <w:rsid w:val="00BB1EA2"/>
    <w:rsid w:val="00BB26C9"/>
    <w:rsid w:val="00BC29CA"/>
    <w:rsid w:val="00BC4B40"/>
    <w:rsid w:val="00BC7B23"/>
    <w:rsid w:val="00BD21F9"/>
    <w:rsid w:val="00BD5BBC"/>
    <w:rsid w:val="00BD77AF"/>
    <w:rsid w:val="00BF4028"/>
    <w:rsid w:val="00BF7A6C"/>
    <w:rsid w:val="00C02AC2"/>
    <w:rsid w:val="00C05088"/>
    <w:rsid w:val="00C06C8B"/>
    <w:rsid w:val="00C06DBB"/>
    <w:rsid w:val="00C13FAC"/>
    <w:rsid w:val="00C15B87"/>
    <w:rsid w:val="00C16070"/>
    <w:rsid w:val="00C16CA0"/>
    <w:rsid w:val="00C202C3"/>
    <w:rsid w:val="00C24883"/>
    <w:rsid w:val="00C253FC"/>
    <w:rsid w:val="00C25648"/>
    <w:rsid w:val="00C40496"/>
    <w:rsid w:val="00C412D2"/>
    <w:rsid w:val="00C44E40"/>
    <w:rsid w:val="00C52A5C"/>
    <w:rsid w:val="00C52F28"/>
    <w:rsid w:val="00C56334"/>
    <w:rsid w:val="00C56B3D"/>
    <w:rsid w:val="00C60CCB"/>
    <w:rsid w:val="00C65504"/>
    <w:rsid w:val="00C66D70"/>
    <w:rsid w:val="00C713D6"/>
    <w:rsid w:val="00C75738"/>
    <w:rsid w:val="00C767F0"/>
    <w:rsid w:val="00C770B2"/>
    <w:rsid w:val="00C77929"/>
    <w:rsid w:val="00C805F2"/>
    <w:rsid w:val="00C8367A"/>
    <w:rsid w:val="00C90747"/>
    <w:rsid w:val="00C93E10"/>
    <w:rsid w:val="00C9552C"/>
    <w:rsid w:val="00CA02E4"/>
    <w:rsid w:val="00CA1F35"/>
    <w:rsid w:val="00CA25EC"/>
    <w:rsid w:val="00CA2CBF"/>
    <w:rsid w:val="00CA37E9"/>
    <w:rsid w:val="00CB11A0"/>
    <w:rsid w:val="00CB1DF2"/>
    <w:rsid w:val="00CC059D"/>
    <w:rsid w:val="00CC1C8D"/>
    <w:rsid w:val="00CC5DAE"/>
    <w:rsid w:val="00CC6B77"/>
    <w:rsid w:val="00CD1055"/>
    <w:rsid w:val="00CD172A"/>
    <w:rsid w:val="00CD2216"/>
    <w:rsid w:val="00CD304C"/>
    <w:rsid w:val="00CD4479"/>
    <w:rsid w:val="00CD468F"/>
    <w:rsid w:val="00CD4DF8"/>
    <w:rsid w:val="00CD736E"/>
    <w:rsid w:val="00CD75D8"/>
    <w:rsid w:val="00CE1B4D"/>
    <w:rsid w:val="00CE21D8"/>
    <w:rsid w:val="00CE2D83"/>
    <w:rsid w:val="00CE3645"/>
    <w:rsid w:val="00CE6A3F"/>
    <w:rsid w:val="00CF3C71"/>
    <w:rsid w:val="00CF7CCA"/>
    <w:rsid w:val="00D00601"/>
    <w:rsid w:val="00D04048"/>
    <w:rsid w:val="00D05292"/>
    <w:rsid w:val="00D139FC"/>
    <w:rsid w:val="00D1402A"/>
    <w:rsid w:val="00D14A91"/>
    <w:rsid w:val="00D14C80"/>
    <w:rsid w:val="00D150A9"/>
    <w:rsid w:val="00D150C9"/>
    <w:rsid w:val="00D216BD"/>
    <w:rsid w:val="00D34B4D"/>
    <w:rsid w:val="00D42D0D"/>
    <w:rsid w:val="00D438EC"/>
    <w:rsid w:val="00D449EA"/>
    <w:rsid w:val="00D45028"/>
    <w:rsid w:val="00D45113"/>
    <w:rsid w:val="00D45B00"/>
    <w:rsid w:val="00D469C7"/>
    <w:rsid w:val="00D5254D"/>
    <w:rsid w:val="00D529E2"/>
    <w:rsid w:val="00D530A5"/>
    <w:rsid w:val="00D563E2"/>
    <w:rsid w:val="00D633D2"/>
    <w:rsid w:val="00D64FC3"/>
    <w:rsid w:val="00D6794F"/>
    <w:rsid w:val="00D67EE7"/>
    <w:rsid w:val="00D70B25"/>
    <w:rsid w:val="00D70C35"/>
    <w:rsid w:val="00D71DF9"/>
    <w:rsid w:val="00D74CC6"/>
    <w:rsid w:val="00D75770"/>
    <w:rsid w:val="00D76E1C"/>
    <w:rsid w:val="00D774DC"/>
    <w:rsid w:val="00D8068D"/>
    <w:rsid w:val="00D844F5"/>
    <w:rsid w:val="00D8696C"/>
    <w:rsid w:val="00D87314"/>
    <w:rsid w:val="00D92328"/>
    <w:rsid w:val="00D925F4"/>
    <w:rsid w:val="00D9277C"/>
    <w:rsid w:val="00D946F1"/>
    <w:rsid w:val="00D95F1D"/>
    <w:rsid w:val="00DA20C1"/>
    <w:rsid w:val="00DA360C"/>
    <w:rsid w:val="00DA48A1"/>
    <w:rsid w:val="00DA70B1"/>
    <w:rsid w:val="00DC087D"/>
    <w:rsid w:val="00DC22C9"/>
    <w:rsid w:val="00DC3D34"/>
    <w:rsid w:val="00DC50F1"/>
    <w:rsid w:val="00DC57E8"/>
    <w:rsid w:val="00DC5CD1"/>
    <w:rsid w:val="00DC698F"/>
    <w:rsid w:val="00DC7F08"/>
    <w:rsid w:val="00DD05E7"/>
    <w:rsid w:val="00DD2BFE"/>
    <w:rsid w:val="00DD36EE"/>
    <w:rsid w:val="00DD521F"/>
    <w:rsid w:val="00DD6074"/>
    <w:rsid w:val="00DE00B8"/>
    <w:rsid w:val="00DE3DDB"/>
    <w:rsid w:val="00DF0B8F"/>
    <w:rsid w:val="00DF230D"/>
    <w:rsid w:val="00DF25A7"/>
    <w:rsid w:val="00DF2B9A"/>
    <w:rsid w:val="00DF4996"/>
    <w:rsid w:val="00DF7612"/>
    <w:rsid w:val="00DF764E"/>
    <w:rsid w:val="00DF76ED"/>
    <w:rsid w:val="00DF7D0C"/>
    <w:rsid w:val="00DF7D2C"/>
    <w:rsid w:val="00DF7E11"/>
    <w:rsid w:val="00E00087"/>
    <w:rsid w:val="00E0041C"/>
    <w:rsid w:val="00E00F9C"/>
    <w:rsid w:val="00E0223C"/>
    <w:rsid w:val="00E052AA"/>
    <w:rsid w:val="00E0533C"/>
    <w:rsid w:val="00E07A9C"/>
    <w:rsid w:val="00E12D43"/>
    <w:rsid w:val="00E15345"/>
    <w:rsid w:val="00E16285"/>
    <w:rsid w:val="00E162EE"/>
    <w:rsid w:val="00E20595"/>
    <w:rsid w:val="00E2169D"/>
    <w:rsid w:val="00E2385D"/>
    <w:rsid w:val="00E23A6A"/>
    <w:rsid w:val="00E245D2"/>
    <w:rsid w:val="00E34A16"/>
    <w:rsid w:val="00E35DA9"/>
    <w:rsid w:val="00E3689D"/>
    <w:rsid w:val="00E4443B"/>
    <w:rsid w:val="00E44B96"/>
    <w:rsid w:val="00E52787"/>
    <w:rsid w:val="00E53C7C"/>
    <w:rsid w:val="00E54221"/>
    <w:rsid w:val="00E60B90"/>
    <w:rsid w:val="00E65E47"/>
    <w:rsid w:val="00E66635"/>
    <w:rsid w:val="00E67616"/>
    <w:rsid w:val="00E677FD"/>
    <w:rsid w:val="00E74A8A"/>
    <w:rsid w:val="00E76588"/>
    <w:rsid w:val="00E77127"/>
    <w:rsid w:val="00E77A9B"/>
    <w:rsid w:val="00E80712"/>
    <w:rsid w:val="00E822C4"/>
    <w:rsid w:val="00E82390"/>
    <w:rsid w:val="00E82F91"/>
    <w:rsid w:val="00E834A8"/>
    <w:rsid w:val="00E8425A"/>
    <w:rsid w:val="00E84829"/>
    <w:rsid w:val="00E91028"/>
    <w:rsid w:val="00E93E9F"/>
    <w:rsid w:val="00E93F5D"/>
    <w:rsid w:val="00E944F9"/>
    <w:rsid w:val="00E96734"/>
    <w:rsid w:val="00E967FC"/>
    <w:rsid w:val="00EA462B"/>
    <w:rsid w:val="00EA4E03"/>
    <w:rsid w:val="00EA6293"/>
    <w:rsid w:val="00EB560B"/>
    <w:rsid w:val="00EB7E6B"/>
    <w:rsid w:val="00EC4DBC"/>
    <w:rsid w:val="00EC65C8"/>
    <w:rsid w:val="00EC6C50"/>
    <w:rsid w:val="00EC6FB6"/>
    <w:rsid w:val="00ED0DB0"/>
    <w:rsid w:val="00ED245E"/>
    <w:rsid w:val="00ED7C28"/>
    <w:rsid w:val="00EE0870"/>
    <w:rsid w:val="00EE15FB"/>
    <w:rsid w:val="00EE1F02"/>
    <w:rsid w:val="00EE3CB2"/>
    <w:rsid w:val="00EE473A"/>
    <w:rsid w:val="00EE620F"/>
    <w:rsid w:val="00EE63D1"/>
    <w:rsid w:val="00EE6649"/>
    <w:rsid w:val="00EE782E"/>
    <w:rsid w:val="00EF1130"/>
    <w:rsid w:val="00EF11CC"/>
    <w:rsid w:val="00EF171C"/>
    <w:rsid w:val="00EF3DB2"/>
    <w:rsid w:val="00EF4EE6"/>
    <w:rsid w:val="00EF5C63"/>
    <w:rsid w:val="00EF7D10"/>
    <w:rsid w:val="00EF7E3C"/>
    <w:rsid w:val="00F00B55"/>
    <w:rsid w:val="00F00D1B"/>
    <w:rsid w:val="00F122EA"/>
    <w:rsid w:val="00F130D6"/>
    <w:rsid w:val="00F155CB"/>
    <w:rsid w:val="00F15E62"/>
    <w:rsid w:val="00F162A1"/>
    <w:rsid w:val="00F176C1"/>
    <w:rsid w:val="00F20CE4"/>
    <w:rsid w:val="00F20E17"/>
    <w:rsid w:val="00F21017"/>
    <w:rsid w:val="00F24EEE"/>
    <w:rsid w:val="00F26AB1"/>
    <w:rsid w:val="00F320F4"/>
    <w:rsid w:val="00F333D3"/>
    <w:rsid w:val="00F36240"/>
    <w:rsid w:val="00F37EAB"/>
    <w:rsid w:val="00F37FA6"/>
    <w:rsid w:val="00F40169"/>
    <w:rsid w:val="00F40DC0"/>
    <w:rsid w:val="00F4347B"/>
    <w:rsid w:val="00F44138"/>
    <w:rsid w:val="00F44428"/>
    <w:rsid w:val="00F60911"/>
    <w:rsid w:val="00F60FFC"/>
    <w:rsid w:val="00F63715"/>
    <w:rsid w:val="00F65C28"/>
    <w:rsid w:val="00F704B5"/>
    <w:rsid w:val="00F7292F"/>
    <w:rsid w:val="00F766CD"/>
    <w:rsid w:val="00F80F80"/>
    <w:rsid w:val="00F838BD"/>
    <w:rsid w:val="00F84F31"/>
    <w:rsid w:val="00F87B98"/>
    <w:rsid w:val="00F93756"/>
    <w:rsid w:val="00F95CEB"/>
    <w:rsid w:val="00F96685"/>
    <w:rsid w:val="00FA00B4"/>
    <w:rsid w:val="00FA2A65"/>
    <w:rsid w:val="00FA4467"/>
    <w:rsid w:val="00FA5816"/>
    <w:rsid w:val="00FB17AE"/>
    <w:rsid w:val="00FB2F44"/>
    <w:rsid w:val="00FB37C5"/>
    <w:rsid w:val="00FB661F"/>
    <w:rsid w:val="00FC1EA5"/>
    <w:rsid w:val="00FC69D6"/>
    <w:rsid w:val="00FD1698"/>
    <w:rsid w:val="00FD2705"/>
    <w:rsid w:val="00FD6536"/>
    <w:rsid w:val="00FD7041"/>
    <w:rsid w:val="00FD77D7"/>
    <w:rsid w:val="00FD7FBA"/>
    <w:rsid w:val="00FE1BF5"/>
    <w:rsid w:val="00FE1D2D"/>
    <w:rsid w:val="00FE226A"/>
    <w:rsid w:val="00FE443C"/>
    <w:rsid w:val="00FE6E9C"/>
    <w:rsid w:val="00FF5B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25A9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25A91"/>
  </w:style>
  <w:style w:type="paragraph" w:styleId="a5">
    <w:name w:val="footer"/>
    <w:basedOn w:val="a"/>
    <w:link w:val="a6"/>
    <w:uiPriority w:val="99"/>
    <w:unhideWhenUsed/>
    <w:rsid w:val="00125A9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25A91"/>
  </w:style>
  <w:style w:type="paragraph" w:styleId="a7">
    <w:name w:val="Balloon Text"/>
    <w:basedOn w:val="a"/>
    <w:link w:val="a8"/>
    <w:uiPriority w:val="99"/>
    <w:semiHidden/>
    <w:unhideWhenUsed/>
    <w:rsid w:val="007C19E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C19EC"/>
    <w:rPr>
      <w:rFonts w:ascii="Tahoma" w:hAnsi="Tahoma" w:cs="Tahoma"/>
      <w:sz w:val="16"/>
      <w:szCs w:val="16"/>
    </w:rPr>
  </w:style>
  <w:style w:type="paragraph" w:customStyle="1" w:styleId="ConsPlusNormal">
    <w:name w:val="ConsPlusNormal"/>
    <w:rsid w:val="003249CE"/>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249C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9">
    <w:name w:val="Table Grid"/>
    <w:basedOn w:val="a1"/>
    <w:uiPriority w:val="59"/>
    <w:rsid w:val="008D5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8D5D14"/>
    <w:pPr>
      <w:ind w:left="720"/>
      <w:contextualSpacing/>
    </w:pPr>
  </w:style>
  <w:style w:type="paragraph" w:styleId="ab">
    <w:name w:val="Normal (Web)"/>
    <w:basedOn w:val="a"/>
    <w:rsid w:val="008D5D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rsid w:val="008D5D14"/>
    <w:pPr>
      <w:spacing w:after="0" w:line="360" w:lineRule="auto"/>
      <w:ind w:firstLine="720"/>
      <w:jc w:val="both"/>
      <w:outlineLvl w:val="0"/>
    </w:pPr>
    <w:rPr>
      <w:rFonts w:ascii="Times New Roman" w:eastAsia="Times New Roman" w:hAnsi="Times New Roman" w:cs="Times New Roman"/>
      <w:i/>
      <w:iCs/>
      <w:sz w:val="26"/>
      <w:szCs w:val="26"/>
      <w:lang w:eastAsia="ru-RU"/>
    </w:rPr>
  </w:style>
  <w:style w:type="character" w:customStyle="1" w:styleId="ad">
    <w:name w:val="Основной текст с отступом Знак"/>
    <w:basedOn w:val="a0"/>
    <w:link w:val="ac"/>
    <w:rsid w:val="008D5D14"/>
    <w:rPr>
      <w:rFonts w:ascii="Times New Roman" w:eastAsia="Times New Roman" w:hAnsi="Times New Roman" w:cs="Times New Roman"/>
      <w:i/>
      <w:iCs/>
      <w:sz w:val="26"/>
      <w:szCs w:val="26"/>
      <w:lang w:eastAsia="ru-RU"/>
    </w:rPr>
  </w:style>
  <w:style w:type="paragraph" w:styleId="ae">
    <w:name w:val="footnote text"/>
    <w:basedOn w:val="a"/>
    <w:link w:val="af"/>
    <w:uiPriority w:val="99"/>
    <w:semiHidden/>
    <w:rsid w:val="008D5D14"/>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basedOn w:val="a0"/>
    <w:link w:val="ae"/>
    <w:uiPriority w:val="99"/>
    <w:semiHidden/>
    <w:rsid w:val="008D5D14"/>
    <w:rPr>
      <w:rFonts w:ascii="Times New Roman" w:eastAsia="Times New Roman" w:hAnsi="Times New Roman" w:cs="Times New Roman"/>
      <w:sz w:val="20"/>
      <w:szCs w:val="20"/>
      <w:lang w:eastAsia="ru-RU"/>
    </w:rPr>
  </w:style>
  <w:style w:type="character" w:styleId="af0">
    <w:name w:val="footnote reference"/>
    <w:basedOn w:val="a0"/>
    <w:uiPriority w:val="99"/>
    <w:semiHidden/>
    <w:rsid w:val="008D5D14"/>
    <w:rPr>
      <w:vertAlign w:val="superscript"/>
    </w:rPr>
  </w:style>
  <w:style w:type="character" w:styleId="af1">
    <w:name w:val="Hyperlink"/>
    <w:basedOn w:val="a0"/>
    <w:uiPriority w:val="99"/>
    <w:unhideWhenUsed/>
    <w:rsid w:val="008D5D14"/>
    <w:rPr>
      <w:color w:val="0000FF" w:themeColor="hyperlink"/>
      <w:u w:val="single"/>
    </w:rPr>
  </w:style>
  <w:style w:type="character" w:styleId="af2">
    <w:name w:val="Strong"/>
    <w:basedOn w:val="a0"/>
    <w:uiPriority w:val="22"/>
    <w:qFormat/>
    <w:rsid w:val="008D5D14"/>
    <w:rPr>
      <w:b/>
      <w:bCs/>
    </w:rPr>
  </w:style>
  <w:style w:type="paragraph" w:styleId="af3">
    <w:name w:val="Body Text"/>
    <w:basedOn w:val="a"/>
    <w:link w:val="af4"/>
    <w:uiPriority w:val="99"/>
    <w:semiHidden/>
    <w:unhideWhenUsed/>
    <w:rsid w:val="008D5D14"/>
    <w:pPr>
      <w:spacing w:after="120"/>
    </w:pPr>
  </w:style>
  <w:style w:type="character" w:customStyle="1" w:styleId="af4">
    <w:name w:val="Основной текст Знак"/>
    <w:basedOn w:val="a0"/>
    <w:link w:val="af3"/>
    <w:uiPriority w:val="99"/>
    <w:semiHidden/>
    <w:rsid w:val="008D5D1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25A9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25A91"/>
  </w:style>
  <w:style w:type="paragraph" w:styleId="a5">
    <w:name w:val="footer"/>
    <w:basedOn w:val="a"/>
    <w:link w:val="a6"/>
    <w:uiPriority w:val="99"/>
    <w:unhideWhenUsed/>
    <w:rsid w:val="00125A9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25A91"/>
  </w:style>
  <w:style w:type="paragraph" w:styleId="a7">
    <w:name w:val="Balloon Text"/>
    <w:basedOn w:val="a"/>
    <w:link w:val="a8"/>
    <w:uiPriority w:val="99"/>
    <w:semiHidden/>
    <w:unhideWhenUsed/>
    <w:rsid w:val="007C19E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C19EC"/>
    <w:rPr>
      <w:rFonts w:ascii="Tahoma" w:hAnsi="Tahoma" w:cs="Tahoma"/>
      <w:sz w:val="16"/>
      <w:szCs w:val="16"/>
    </w:rPr>
  </w:style>
  <w:style w:type="paragraph" w:customStyle="1" w:styleId="ConsPlusNormal">
    <w:name w:val="ConsPlusNormal"/>
    <w:rsid w:val="003249CE"/>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249C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9">
    <w:name w:val="Table Grid"/>
    <w:basedOn w:val="a1"/>
    <w:uiPriority w:val="59"/>
    <w:rsid w:val="008D5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8D5D14"/>
    <w:pPr>
      <w:ind w:left="720"/>
      <w:contextualSpacing/>
    </w:pPr>
  </w:style>
  <w:style w:type="paragraph" w:styleId="ab">
    <w:name w:val="Normal (Web)"/>
    <w:basedOn w:val="a"/>
    <w:rsid w:val="008D5D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rsid w:val="008D5D14"/>
    <w:pPr>
      <w:spacing w:after="0" w:line="360" w:lineRule="auto"/>
      <w:ind w:firstLine="720"/>
      <w:jc w:val="both"/>
      <w:outlineLvl w:val="0"/>
    </w:pPr>
    <w:rPr>
      <w:rFonts w:ascii="Times New Roman" w:eastAsia="Times New Roman" w:hAnsi="Times New Roman" w:cs="Times New Roman"/>
      <w:i/>
      <w:iCs/>
      <w:sz w:val="26"/>
      <w:szCs w:val="26"/>
      <w:lang w:eastAsia="ru-RU"/>
    </w:rPr>
  </w:style>
  <w:style w:type="character" w:customStyle="1" w:styleId="ad">
    <w:name w:val="Основной текст с отступом Знак"/>
    <w:basedOn w:val="a0"/>
    <w:link w:val="ac"/>
    <w:rsid w:val="008D5D14"/>
    <w:rPr>
      <w:rFonts w:ascii="Times New Roman" w:eastAsia="Times New Roman" w:hAnsi="Times New Roman" w:cs="Times New Roman"/>
      <w:i/>
      <w:iCs/>
      <w:sz w:val="26"/>
      <w:szCs w:val="26"/>
      <w:lang w:eastAsia="ru-RU"/>
    </w:rPr>
  </w:style>
  <w:style w:type="paragraph" w:styleId="ae">
    <w:name w:val="footnote text"/>
    <w:basedOn w:val="a"/>
    <w:link w:val="af"/>
    <w:uiPriority w:val="99"/>
    <w:semiHidden/>
    <w:rsid w:val="008D5D14"/>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basedOn w:val="a0"/>
    <w:link w:val="ae"/>
    <w:uiPriority w:val="99"/>
    <w:semiHidden/>
    <w:rsid w:val="008D5D14"/>
    <w:rPr>
      <w:rFonts w:ascii="Times New Roman" w:eastAsia="Times New Roman" w:hAnsi="Times New Roman" w:cs="Times New Roman"/>
      <w:sz w:val="20"/>
      <w:szCs w:val="20"/>
      <w:lang w:eastAsia="ru-RU"/>
    </w:rPr>
  </w:style>
  <w:style w:type="character" w:styleId="af0">
    <w:name w:val="footnote reference"/>
    <w:basedOn w:val="a0"/>
    <w:uiPriority w:val="99"/>
    <w:semiHidden/>
    <w:rsid w:val="008D5D14"/>
    <w:rPr>
      <w:vertAlign w:val="superscript"/>
    </w:rPr>
  </w:style>
  <w:style w:type="character" w:styleId="af1">
    <w:name w:val="Hyperlink"/>
    <w:basedOn w:val="a0"/>
    <w:uiPriority w:val="99"/>
    <w:unhideWhenUsed/>
    <w:rsid w:val="008D5D14"/>
    <w:rPr>
      <w:color w:val="0000FF" w:themeColor="hyperlink"/>
      <w:u w:val="single"/>
    </w:rPr>
  </w:style>
  <w:style w:type="character" w:styleId="af2">
    <w:name w:val="Strong"/>
    <w:basedOn w:val="a0"/>
    <w:uiPriority w:val="22"/>
    <w:qFormat/>
    <w:rsid w:val="008D5D14"/>
    <w:rPr>
      <w:b/>
      <w:bCs/>
    </w:rPr>
  </w:style>
  <w:style w:type="paragraph" w:styleId="af3">
    <w:name w:val="Body Text"/>
    <w:basedOn w:val="a"/>
    <w:link w:val="af4"/>
    <w:uiPriority w:val="99"/>
    <w:semiHidden/>
    <w:unhideWhenUsed/>
    <w:rsid w:val="008D5D14"/>
    <w:pPr>
      <w:spacing w:after="120"/>
    </w:pPr>
  </w:style>
  <w:style w:type="character" w:customStyle="1" w:styleId="af4">
    <w:name w:val="Основной текст Знак"/>
    <w:basedOn w:val="a0"/>
    <w:link w:val="af3"/>
    <w:uiPriority w:val="99"/>
    <w:semiHidden/>
    <w:rsid w:val="008D5D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4875">
      <w:bodyDiv w:val="1"/>
      <w:marLeft w:val="0"/>
      <w:marRight w:val="0"/>
      <w:marTop w:val="0"/>
      <w:marBottom w:val="0"/>
      <w:divBdr>
        <w:top w:val="none" w:sz="0" w:space="0" w:color="auto"/>
        <w:left w:val="none" w:sz="0" w:space="0" w:color="auto"/>
        <w:bottom w:val="none" w:sz="0" w:space="0" w:color="auto"/>
        <w:right w:val="none" w:sz="0" w:space="0" w:color="auto"/>
      </w:divBdr>
    </w:div>
    <w:div w:id="28531796">
      <w:bodyDiv w:val="1"/>
      <w:marLeft w:val="0"/>
      <w:marRight w:val="0"/>
      <w:marTop w:val="0"/>
      <w:marBottom w:val="0"/>
      <w:divBdr>
        <w:top w:val="none" w:sz="0" w:space="0" w:color="auto"/>
        <w:left w:val="none" w:sz="0" w:space="0" w:color="auto"/>
        <w:bottom w:val="none" w:sz="0" w:space="0" w:color="auto"/>
        <w:right w:val="none" w:sz="0" w:space="0" w:color="auto"/>
      </w:divBdr>
    </w:div>
    <w:div w:id="119762905">
      <w:bodyDiv w:val="1"/>
      <w:marLeft w:val="0"/>
      <w:marRight w:val="0"/>
      <w:marTop w:val="0"/>
      <w:marBottom w:val="0"/>
      <w:divBdr>
        <w:top w:val="none" w:sz="0" w:space="0" w:color="auto"/>
        <w:left w:val="none" w:sz="0" w:space="0" w:color="auto"/>
        <w:bottom w:val="none" w:sz="0" w:space="0" w:color="auto"/>
        <w:right w:val="none" w:sz="0" w:space="0" w:color="auto"/>
      </w:divBdr>
    </w:div>
    <w:div w:id="277568139">
      <w:bodyDiv w:val="1"/>
      <w:marLeft w:val="0"/>
      <w:marRight w:val="0"/>
      <w:marTop w:val="0"/>
      <w:marBottom w:val="0"/>
      <w:divBdr>
        <w:top w:val="none" w:sz="0" w:space="0" w:color="auto"/>
        <w:left w:val="none" w:sz="0" w:space="0" w:color="auto"/>
        <w:bottom w:val="none" w:sz="0" w:space="0" w:color="auto"/>
        <w:right w:val="none" w:sz="0" w:space="0" w:color="auto"/>
      </w:divBdr>
    </w:div>
    <w:div w:id="299458415">
      <w:bodyDiv w:val="1"/>
      <w:marLeft w:val="0"/>
      <w:marRight w:val="0"/>
      <w:marTop w:val="0"/>
      <w:marBottom w:val="0"/>
      <w:divBdr>
        <w:top w:val="none" w:sz="0" w:space="0" w:color="auto"/>
        <w:left w:val="none" w:sz="0" w:space="0" w:color="auto"/>
        <w:bottom w:val="none" w:sz="0" w:space="0" w:color="auto"/>
        <w:right w:val="none" w:sz="0" w:space="0" w:color="auto"/>
      </w:divBdr>
    </w:div>
    <w:div w:id="314771036">
      <w:bodyDiv w:val="1"/>
      <w:marLeft w:val="0"/>
      <w:marRight w:val="0"/>
      <w:marTop w:val="0"/>
      <w:marBottom w:val="0"/>
      <w:divBdr>
        <w:top w:val="none" w:sz="0" w:space="0" w:color="auto"/>
        <w:left w:val="none" w:sz="0" w:space="0" w:color="auto"/>
        <w:bottom w:val="none" w:sz="0" w:space="0" w:color="auto"/>
        <w:right w:val="none" w:sz="0" w:space="0" w:color="auto"/>
      </w:divBdr>
    </w:div>
    <w:div w:id="379399472">
      <w:bodyDiv w:val="1"/>
      <w:marLeft w:val="0"/>
      <w:marRight w:val="0"/>
      <w:marTop w:val="0"/>
      <w:marBottom w:val="0"/>
      <w:divBdr>
        <w:top w:val="none" w:sz="0" w:space="0" w:color="auto"/>
        <w:left w:val="none" w:sz="0" w:space="0" w:color="auto"/>
        <w:bottom w:val="none" w:sz="0" w:space="0" w:color="auto"/>
        <w:right w:val="none" w:sz="0" w:space="0" w:color="auto"/>
      </w:divBdr>
    </w:div>
    <w:div w:id="471794962">
      <w:bodyDiv w:val="1"/>
      <w:marLeft w:val="0"/>
      <w:marRight w:val="0"/>
      <w:marTop w:val="0"/>
      <w:marBottom w:val="0"/>
      <w:divBdr>
        <w:top w:val="none" w:sz="0" w:space="0" w:color="auto"/>
        <w:left w:val="none" w:sz="0" w:space="0" w:color="auto"/>
        <w:bottom w:val="none" w:sz="0" w:space="0" w:color="auto"/>
        <w:right w:val="none" w:sz="0" w:space="0" w:color="auto"/>
      </w:divBdr>
    </w:div>
    <w:div w:id="506480905">
      <w:bodyDiv w:val="1"/>
      <w:marLeft w:val="0"/>
      <w:marRight w:val="0"/>
      <w:marTop w:val="0"/>
      <w:marBottom w:val="0"/>
      <w:divBdr>
        <w:top w:val="none" w:sz="0" w:space="0" w:color="auto"/>
        <w:left w:val="none" w:sz="0" w:space="0" w:color="auto"/>
        <w:bottom w:val="none" w:sz="0" w:space="0" w:color="auto"/>
        <w:right w:val="none" w:sz="0" w:space="0" w:color="auto"/>
      </w:divBdr>
    </w:div>
    <w:div w:id="595795600">
      <w:bodyDiv w:val="1"/>
      <w:marLeft w:val="0"/>
      <w:marRight w:val="0"/>
      <w:marTop w:val="0"/>
      <w:marBottom w:val="0"/>
      <w:divBdr>
        <w:top w:val="none" w:sz="0" w:space="0" w:color="auto"/>
        <w:left w:val="none" w:sz="0" w:space="0" w:color="auto"/>
        <w:bottom w:val="none" w:sz="0" w:space="0" w:color="auto"/>
        <w:right w:val="none" w:sz="0" w:space="0" w:color="auto"/>
      </w:divBdr>
    </w:div>
    <w:div w:id="618953983">
      <w:bodyDiv w:val="1"/>
      <w:marLeft w:val="0"/>
      <w:marRight w:val="0"/>
      <w:marTop w:val="0"/>
      <w:marBottom w:val="0"/>
      <w:divBdr>
        <w:top w:val="none" w:sz="0" w:space="0" w:color="auto"/>
        <w:left w:val="none" w:sz="0" w:space="0" w:color="auto"/>
        <w:bottom w:val="none" w:sz="0" w:space="0" w:color="auto"/>
        <w:right w:val="none" w:sz="0" w:space="0" w:color="auto"/>
      </w:divBdr>
    </w:div>
    <w:div w:id="689068162">
      <w:bodyDiv w:val="1"/>
      <w:marLeft w:val="0"/>
      <w:marRight w:val="0"/>
      <w:marTop w:val="0"/>
      <w:marBottom w:val="0"/>
      <w:divBdr>
        <w:top w:val="none" w:sz="0" w:space="0" w:color="auto"/>
        <w:left w:val="none" w:sz="0" w:space="0" w:color="auto"/>
        <w:bottom w:val="none" w:sz="0" w:space="0" w:color="auto"/>
        <w:right w:val="none" w:sz="0" w:space="0" w:color="auto"/>
      </w:divBdr>
    </w:div>
    <w:div w:id="712735404">
      <w:bodyDiv w:val="1"/>
      <w:marLeft w:val="0"/>
      <w:marRight w:val="0"/>
      <w:marTop w:val="0"/>
      <w:marBottom w:val="0"/>
      <w:divBdr>
        <w:top w:val="none" w:sz="0" w:space="0" w:color="auto"/>
        <w:left w:val="none" w:sz="0" w:space="0" w:color="auto"/>
        <w:bottom w:val="none" w:sz="0" w:space="0" w:color="auto"/>
        <w:right w:val="none" w:sz="0" w:space="0" w:color="auto"/>
      </w:divBdr>
    </w:div>
    <w:div w:id="758795327">
      <w:bodyDiv w:val="1"/>
      <w:marLeft w:val="0"/>
      <w:marRight w:val="0"/>
      <w:marTop w:val="0"/>
      <w:marBottom w:val="0"/>
      <w:divBdr>
        <w:top w:val="none" w:sz="0" w:space="0" w:color="auto"/>
        <w:left w:val="none" w:sz="0" w:space="0" w:color="auto"/>
        <w:bottom w:val="none" w:sz="0" w:space="0" w:color="auto"/>
        <w:right w:val="none" w:sz="0" w:space="0" w:color="auto"/>
      </w:divBdr>
    </w:div>
    <w:div w:id="869731804">
      <w:bodyDiv w:val="1"/>
      <w:marLeft w:val="0"/>
      <w:marRight w:val="0"/>
      <w:marTop w:val="0"/>
      <w:marBottom w:val="0"/>
      <w:divBdr>
        <w:top w:val="none" w:sz="0" w:space="0" w:color="auto"/>
        <w:left w:val="none" w:sz="0" w:space="0" w:color="auto"/>
        <w:bottom w:val="none" w:sz="0" w:space="0" w:color="auto"/>
        <w:right w:val="none" w:sz="0" w:space="0" w:color="auto"/>
      </w:divBdr>
    </w:div>
    <w:div w:id="911626815">
      <w:bodyDiv w:val="1"/>
      <w:marLeft w:val="0"/>
      <w:marRight w:val="0"/>
      <w:marTop w:val="0"/>
      <w:marBottom w:val="0"/>
      <w:divBdr>
        <w:top w:val="none" w:sz="0" w:space="0" w:color="auto"/>
        <w:left w:val="none" w:sz="0" w:space="0" w:color="auto"/>
        <w:bottom w:val="none" w:sz="0" w:space="0" w:color="auto"/>
        <w:right w:val="none" w:sz="0" w:space="0" w:color="auto"/>
      </w:divBdr>
    </w:div>
    <w:div w:id="949631697">
      <w:bodyDiv w:val="1"/>
      <w:marLeft w:val="0"/>
      <w:marRight w:val="0"/>
      <w:marTop w:val="0"/>
      <w:marBottom w:val="0"/>
      <w:divBdr>
        <w:top w:val="none" w:sz="0" w:space="0" w:color="auto"/>
        <w:left w:val="none" w:sz="0" w:space="0" w:color="auto"/>
        <w:bottom w:val="none" w:sz="0" w:space="0" w:color="auto"/>
        <w:right w:val="none" w:sz="0" w:space="0" w:color="auto"/>
      </w:divBdr>
    </w:div>
    <w:div w:id="1011102416">
      <w:bodyDiv w:val="1"/>
      <w:marLeft w:val="0"/>
      <w:marRight w:val="0"/>
      <w:marTop w:val="0"/>
      <w:marBottom w:val="0"/>
      <w:divBdr>
        <w:top w:val="none" w:sz="0" w:space="0" w:color="auto"/>
        <w:left w:val="none" w:sz="0" w:space="0" w:color="auto"/>
        <w:bottom w:val="none" w:sz="0" w:space="0" w:color="auto"/>
        <w:right w:val="none" w:sz="0" w:space="0" w:color="auto"/>
      </w:divBdr>
    </w:div>
    <w:div w:id="1033189384">
      <w:bodyDiv w:val="1"/>
      <w:marLeft w:val="0"/>
      <w:marRight w:val="0"/>
      <w:marTop w:val="0"/>
      <w:marBottom w:val="0"/>
      <w:divBdr>
        <w:top w:val="none" w:sz="0" w:space="0" w:color="auto"/>
        <w:left w:val="none" w:sz="0" w:space="0" w:color="auto"/>
        <w:bottom w:val="none" w:sz="0" w:space="0" w:color="auto"/>
        <w:right w:val="none" w:sz="0" w:space="0" w:color="auto"/>
      </w:divBdr>
    </w:div>
    <w:div w:id="1158304509">
      <w:bodyDiv w:val="1"/>
      <w:marLeft w:val="0"/>
      <w:marRight w:val="0"/>
      <w:marTop w:val="0"/>
      <w:marBottom w:val="0"/>
      <w:divBdr>
        <w:top w:val="none" w:sz="0" w:space="0" w:color="auto"/>
        <w:left w:val="none" w:sz="0" w:space="0" w:color="auto"/>
        <w:bottom w:val="none" w:sz="0" w:space="0" w:color="auto"/>
        <w:right w:val="none" w:sz="0" w:space="0" w:color="auto"/>
      </w:divBdr>
    </w:div>
    <w:div w:id="1203862396">
      <w:bodyDiv w:val="1"/>
      <w:marLeft w:val="0"/>
      <w:marRight w:val="0"/>
      <w:marTop w:val="0"/>
      <w:marBottom w:val="0"/>
      <w:divBdr>
        <w:top w:val="none" w:sz="0" w:space="0" w:color="auto"/>
        <w:left w:val="none" w:sz="0" w:space="0" w:color="auto"/>
        <w:bottom w:val="none" w:sz="0" w:space="0" w:color="auto"/>
        <w:right w:val="none" w:sz="0" w:space="0" w:color="auto"/>
      </w:divBdr>
    </w:div>
    <w:div w:id="1251620669">
      <w:bodyDiv w:val="1"/>
      <w:marLeft w:val="0"/>
      <w:marRight w:val="0"/>
      <w:marTop w:val="0"/>
      <w:marBottom w:val="0"/>
      <w:divBdr>
        <w:top w:val="none" w:sz="0" w:space="0" w:color="auto"/>
        <w:left w:val="none" w:sz="0" w:space="0" w:color="auto"/>
        <w:bottom w:val="none" w:sz="0" w:space="0" w:color="auto"/>
        <w:right w:val="none" w:sz="0" w:space="0" w:color="auto"/>
      </w:divBdr>
    </w:div>
    <w:div w:id="1267729830">
      <w:bodyDiv w:val="1"/>
      <w:marLeft w:val="0"/>
      <w:marRight w:val="0"/>
      <w:marTop w:val="0"/>
      <w:marBottom w:val="0"/>
      <w:divBdr>
        <w:top w:val="none" w:sz="0" w:space="0" w:color="auto"/>
        <w:left w:val="none" w:sz="0" w:space="0" w:color="auto"/>
        <w:bottom w:val="none" w:sz="0" w:space="0" w:color="auto"/>
        <w:right w:val="none" w:sz="0" w:space="0" w:color="auto"/>
      </w:divBdr>
    </w:div>
    <w:div w:id="1378165029">
      <w:bodyDiv w:val="1"/>
      <w:marLeft w:val="0"/>
      <w:marRight w:val="0"/>
      <w:marTop w:val="0"/>
      <w:marBottom w:val="0"/>
      <w:divBdr>
        <w:top w:val="none" w:sz="0" w:space="0" w:color="auto"/>
        <w:left w:val="none" w:sz="0" w:space="0" w:color="auto"/>
        <w:bottom w:val="none" w:sz="0" w:space="0" w:color="auto"/>
        <w:right w:val="none" w:sz="0" w:space="0" w:color="auto"/>
      </w:divBdr>
    </w:div>
    <w:div w:id="1458523206">
      <w:bodyDiv w:val="1"/>
      <w:marLeft w:val="0"/>
      <w:marRight w:val="0"/>
      <w:marTop w:val="0"/>
      <w:marBottom w:val="0"/>
      <w:divBdr>
        <w:top w:val="none" w:sz="0" w:space="0" w:color="auto"/>
        <w:left w:val="none" w:sz="0" w:space="0" w:color="auto"/>
        <w:bottom w:val="none" w:sz="0" w:space="0" w:color="auto"/>
        <w:right w:val="none" w:sz="0" w:space="0" w:color="auto"/>
      </w:divBdr>
    </w:div>
    <w:div w:id="1505045951">
      <w:bodyDiv w:val="1"/>
      <w:marLeft w:val="0"/>
      <w:marRight w:val="0"/>
      <w:marTop w:val="0"/>
      <w:marBottom w:val="0"/>
      <w:divBdr>
        <w:top w:val="none" w:sz="0" w:space="0" w:color="auto"/>
        <w:left w:val="none" w:sz="0" w:space="0" w:color="auto"/>
        <w:bottom w:val="none" w:sz="0" w:space="0" w:color="auto"/>
        <w:right w:val="none" w:sz="0" w:space="0" w:color="auto"/>
      </w:divBdr>
    </w:div>
    <w:div w:id="1541823220">
      <w:bodyDiv w:val="1"/>
      <w:marLeft w:val="0"/>
      <w:marRight w:val="0"/>
      <w:marTop w:val="0"/>
      <w:marBottom w:val="0"/>
      <w:divBdr>
        <w:top w:val="none" w:sz="0" w:space="0" w:color="auto"/>
        <w:left w:val="none" w:sz="0" w:space="0" w:color="auto"/>
        <w:bottom w:val="none" w:sz="0" w:space="0" w:color="auto"/>
        <w:right w:val="none" w:sz="0" w:space="0" w:color="auto"/>
      </w:divBdr>
    </w:div>
    <w:div w:id="1591739430">
      <w:bodyDiv w:val="1"/>
      <w:marLeft w:val="0"/>
      <w:marRight w:val="0"/>
      <w:marTop w:val="0"/>
      <w:marBottom w:val="0"/>
      <w:divBdr>
        <w:top w:val="none" w:sz="0" w:space="0" w:color="auto"/>
        <w:left w:val="none" w:sz="0" w:space="0" w:color="auto"/>
        <w:bottom w:val="none" w:sz="0" w:space="0" w:color="auto"/>
        <w:right w:val="none" w:sz="0" w:space="0" w:color="auto"/>
      </w:divBdr>
    </w:div>
    <w:div w:id="1609585044">
      <w:bodyDiv w:val="1"/>
      <w:marLeft w:val="0"/>
      <w:marRight w:val="0"/>
      <w:marTop w:val="0"/>
      <w:marBottom w:val="0"/>
      <w:divBdr>
        <w:top w:val="none" w:sz="0" w:space="0" w:color="auto"/>
        <w:left w:val="none" w:sz="0" w:space="0" w:color="auto"/>
        <w:bottom w:val="none" w:sz="0" w:space="0" w:color="auto"/>
        <w:right w:val="none" w:sz="0" w:space="0" w:color="auto"/>
      </w:divBdr>
    </w:div>
    <w:div w:id="1879775974">
      <w:bodyDiv w:val="1"/>
      <w:marLeft w:val="0"/>
      <w:marRight w:val="0"/>
      <w:marTop w:val="0"/>
      <w:marBottom w:val="0"/>
      <w:divBdr>
        <w:top w:val="none" w:sz="0" w:space="0" w:color="auto"/>
        <w:left w:val="none" w:sz="0" w:space="0" w:color="auto"/>
        <w:bottom w:val="none" w:sz="0" w:space="0" w:color="auto"/>
        <w:right w:val="none" w:sz="0" w:space="0" w:color="auto"/>
      </w:divBdr>
    </w:div>
    <w:div w:id="1962954126">
      <w:bodyDiv w:val="1"/>
      <w:marLeft w:val="0"/>
      <w:marRight w:val="0"/>
      <w:marTop w:val="0"/>
      <w:marBottom w:val="0"/>
      <w:divBdr>
        <w:top w:val="none" w:sz="0" w:space="0" w:color="auto"/>
        <w:left w:val="none" w:sz="0" w:space="0" w:color="auto"/>
        <w:bottom w:val="none" w:sz="0" w:space="0" w:color="auto"/>
        <w:right w:val="none" w:sz="0" w:space="0" w:color="auto"/>
      </w:divBdr>
    </w:div>
    <w:div w:id="1975452592">
      <w:bodyDiv w:val="1"/>
      <w:marLeft w:val="0"/>
      <w:marRight w:val="0"/>
      <w:marTop w:val="0"/>
      <w:marBottom w:val="0"/>
      <w:divBdr>
        <w:top w:val="none" w:sz="0" w:space="0" w:color="auto"/>
        <w:left w:val="none" w:sz="0" w:space="0" w:color="auto"/>
        <w:bottom w:val="none" w:sz="0" w:space="0" w:color="auto"/>
        <w:right w:val="none" w:sz="0" w:space="0" w:color="auto"/>
      </w:divBdr>
    </w:div>
    <w:div w:id="2009819256">
      <w:bodyDiv w:val="1"/>
      <w:marLeft w:val="0"/>
      <w:marRight w:val="0"/>
      <w:marTop w:val="0"/>
      <w:marBottom w:val="0"/>
      <w:divBdr>
        <w:top w:val="none" w:sz="0" w:space="0" w:color="auto"/>
        <w:left w:val="none" w:sz="0" w:space="0" w:color="auto"/>
        <w:bottom w:val="none" w:sz="0" w:space="0" w:color="auto"/>
        <w:right w:val="none" w:sz="0" w:space="0" w:color="auto"/>
      </w:divBdr>
    </w:div>
    <w:div w:id="2030400673">
      <w:bodyDiv w:val="1"/>
      <w:marLeft w:val="0"/>
      <w:marRight w:val="0"/>
      <w:marTop w:val="0"/>
      <w:marBottom w:val="0"/>
      <w:divBdr>
        <w:top w:val="none" w:sz="0" w:space="0" w:color="auto"/>
        <w:left w:val="none" w:sz="0" w:space="0" w:color="auto"/>
        <w:bottom w:val="none" w:sz="0" w:space="0" w:color="auto"/>
        <w:right w:val="none" w:sz="0" w:space="0" w:color="auto"/>
      </w:divBdr>
    </w:div>
    <w:div w:id="2039040694">
      <w:bodyDiv w:val="1"/>
      <w:marLeft w:val="0"/>
      <w:marRight w:val="0"/>
      <w:marTop w:val="0"/>
      <w:marBottom w:val="0"/>
      <w:divBdr>
        <w:top w:val="none" w:sz="0" w:space="0" w:color="auto"/>
        <w:left w:val="none" w:sz="0" w:space="0" w:color="auto"/>
        <w:bottom w:val="none" w:sz="0" w:space="0" w:color="auto"/>
        <w:right w:val="none" w:sz="0" w:space="0" w:color="auto"/>
      </w:divBdr>
    </w:div>
    <w:div w:id="2060589259">
      <w:bodyDiv w:val="1"/>
      <w:marLeft w:val="0"/>
      <w:marRight w:val="0"/>
      <w:marTop w:val="0"/>
      <w:marBottom w:val="0"/>
      <w:divBdr>
        <w:top w:val="none" w:sz="0" w:space="0" w:color="auto"/>
        <w:left w:val="none" w:sz="0" w:space="0" w:color="auto"/>
        <w:bottom w:val="none" w:sz="0" w:space="0" w:color="auto"/>
        <w:right w:val="none" w:sz="0" w:space="0" w:color="auto"/>
      </w:divBdr>
    </w:div>
    <w:div w:id="2108192882">
      <w:bodyDiv w:val="1"/>
      <w:marLeft w:val="0"/>
      <w:marRight w:val="0"/>
      <w:marTop w:val="0"/>
      <w:marBottom w:val="0"/>
      <w:divBdr>
        <w:top w:val="none" w:sz="0" w:space="0" w:color="auto"/>
        <w:left w:val="none" w:sz="0" w:space="0" w:color="auto"/>
        <w:bottom w:val="none" w:sz="0" w:space="0" w:color="auto"/>
        <w:right w:val="none" w:sz="0" w:space="0" w:color="auto"/>
      </w:divBdr>
    </w:div>
    <w:div w:id="214711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image" Target="media/image5.jpeg"/><Relationship Id="rId21" Type="http://schemas.openxmlformats.org/officeDocument/2006/relationships/chart" Target="charts/chart12.xml"/><Relationship Id="rId34" Type="http://schemas.openxmlformats.org/officeDocument/2006/relationships/hyperlink" Target="http://fcp.economy.gov.ru/cgi-bin/cis/fcp.cgi/Fcp/ViewFcp/View/2007/141/" TargetMode="External"/><Relationship Id="rId42" Type="http://schemas.openxmlformats.org/officeDocument/2006/relationships/image" Target="media/image8.jpeg"/><Relationship Id="rId47" Type="http://schemas.openxmlformats.org/officeDocument/2006/relationships/chart" Target="charts/chart29.xml"/><Relationship Id="rId50" Type="http://schemas.openxmlformats.org/officeDocument/2006/relationships/chart" Target="charts/chart32.xml"/><Relationship Id="rId55" Type="http://schemas.openxmlformats.org/officeDocument/2006/relationships/chart" Target="charts/chart37.xml"/><Relationship Id="rId63" Type="http://schemas.openxmlformats.org/officeDocument/2006/relationships/footer" Target="footer1.xml"/><Relationship Id="rId68" Type="http://schemas.openxmlformats.org/officeDocument/2006/relationships/chart" Target="charts/chart49.xml"/><Relationship Id="rId76" Type="http://schemas.openxmlformats.org/officeDocument/2006/relationships/chart" Target="charts/chart57.xml"/><Relationship Id="rId7" Type="http://schemas.openxmlformats.org/officeDocument/2006/relationships/footnotes" Target="footnotes.xml"/><Relationship Id="rId71" Type="http://schemas.openxmlformats.org/officeDocument/2006/relationships/chart" Target="charts/chart52.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chart" Target="charts/chart20.xml"/><Relationship Id="rId11" Type="http://schemas.openxmlformats.org/officeDocument/2006/relationships/chart" Target="charts/chart3.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image" Target="media/image3.jpeg"/><Relationship Id="rId40" Type="http://schemas.openxmlformats.org/officeDocument/2006/relationships/image" Target="media/image6.jpeg"/><Relationship Id="rId45" Type="http://schemas.openxmlformats.org/officeDocument/2006/relationships/chart" Target="charts/chart27.xml"/><Relationship Id="rId53" Type="http://schemas.openxmlformats.org/officeDocument/2006/relationships/chart" Target="charts/chart35.xml"/><Relationship Id="rId58" Type="http://schemas.openxmlformats.org/officeDocument/2006/relationships/chart" Target="charts/chart40.xml"/><Relationship Id="rId66" Type="http://schemas.openxmlformats.org/officeDocument/2006/relationships/chart" Target="charts/chart47.xml"/><Relationship Id="rId74" Type="http://schemas.openxmlformats.org/officeDocument/2006/relationships/chart" Target="charts/chart55.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hart" Target="charts/chart43.xml"/><Relationship Id="rId10" Type="http://schemas.openxmlformats.org/officeDocument/2006/relationships/chart" Target="charts/chart2.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chart" Target="charts/chart26.xml"/><Relationship Id="rId52" Type="http://schemas.openxmlformats.org/officeDocument/2006/relationships/chart" Target="charts/chart34.xml"/><Relationship Id="rId60" Type="http://schemas.openxmlformats.org/officeDocument/2006/relationships/chart" Target="charts/chart42.xml"/><Relationship Id="rId65" Type="http://schemas.openxmlformats.org/officeDocument/2006/relationships/chart" Target="charts/chart46.xml"/><Relationship Id="rId73" Type="http://schemas.openxmlformats.org/officeDocument/2006/relationships/chart" Target="charts/chart54.xm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image" Target="media/image2.emf"/><Relationship Id="rId43" Type="http://schemas.openxmlformats.org/officeDocument/2006/relationships/image" Target="media/image9.jpeg"/><Relationship Id="rId48" Type="http://schemas.openxmlformats.org/officeDocument/2006/relationships/chart" Target="charts/chart30.xml"/><Relationship Id="rId56" Type="http://schemas.openxmlformats.org/officeDocument/2006/relationships/chart" Target="charts/chart38.xml"/><Relationship Id="rId64" Type="http://schemas.openxmlformats.org/officeDocument/2006/relationships/chart" Target="charts/chart45.xml"/><Relationship Id="rId69" Type="http://schemas.openxmlformats.org/officeDocument/2006/relationships/chart" Target="charts/chart50.xml"/><Relationship Id="rId77" Type="http://schemas.openxmlformats.org/officeDocument/2006/relationships/chart" Target="charts/chart58.xml"/><Relationship Id="rId8" Type="http://schemas.openxmlformats.org/officeDocument/2006/relationships/endnotes" Target="endnotes.xml"/><Relationship Id="rId51" Type="http://schemas.openxmlformats.org/officeDocument/2006/relationships/chart" Target="charts/chart33.xml"/><Relationship Id="rId72" Type="http://schemas.openxmlformats.org/officeDocument/2006/relationships/chart" Target="charts/chart53.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image" Target="media/image4.jpeg"/><Relationship Id="rId46" Type="http://schemas.openxmlformats.org/officeDocument/2006/relationships/chart" Target="charts/chart28.xml"/><Relationship Id="rId59" Type="http://schemas.openxmlformats.org/officeDocument/2006/relationships/chart" Target="charts/chart41.xml"/><Relationship Id="rId67" Type="http://schemas.openxmlformats.org/officeDocument/2006/relationships/chart" Target="charts/chart48.xml"/><Relationship Id="rId20" Type="http://schemas.openxmlformats.org/officeDocument/2006/relationships/chart" Target="charts/chart11.xml"/><Relationship Id="rId41" Type="http://schemas.openxmlformats.org/officeDocument/2006/relationships/image" Target="media/image7.jpeg"/><Relationship Id="rId54" Type="http://schemas.openxmlformats.org/officeDocument/2006/relationships/chart" Target="charts/chart36.xml"/><Relationship Id="rId62" Type="http://schemas.openxmlformats.org/officeDocument/2006/relationships/chart" Target="charts/chart44.xml"/><Relationship Id="rId70" Type="http://schemas.openxmlformats.org/officeDocument/2006/relationships/chart" Target="charts/chart51.xml"/><Relationship Id="rId75" Type="http://schemas.openxmlformats.org/officeDocument/2006/relationships/chart" Target="charts/chart5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5.xml"/><Relationship Id="rId49" Type="http://schemas.openxmlformats.org/officeDocument/2006/relationships/chart" Target="charts/chart31.xml"/><Relationship Id="rId57" Type="http://schemas.openxmlformats.org/officeDocument/2006/relationships/chart" Target="charts/chart39.xml"/></Relationships>
</file>

<file path=word/_rels/footnotes.xml.rels><?xml version="1.0" encoding="UTF-8" standalone="yes"?>
<Relationships xmlns="http://schemas.openxmlformats.org/package/2006/relationships"><Relationship Id="rId2" Type="http://schemas.openxmlformats.org/officeDocument/2006/relationships/hyperlink" Target="http://soft.cnews.ru/windows/education/scientific_programs/mpriority/" TargetMode="External"/><Relationship Id="rId1" Type="http://schemas.openxmlformats.org/officeDocument/2006/relationships/hyperlink" Target="http://www.economy.gov.ru/minec/activity/sections/econreg/monprog/doc201003051507"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7;&#1050;&#1060;&#1054;.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7;&#1086;%20&#1057;&#1050;&#1060;&#1054;%202012%20&#1075;&#1086;&#1076;.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6;&#1086;&#1090;&#1085;&#1086;&#1096;%20&#1082;&#1072;&#1087;%20&#1088;&#1072;&#1089;&#1093;%202012%20&#1075;&#1086;&#1076;.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0;&#1085;&#1072;&#1084;&#1080;&#1082;&#1072;%20&#1076;&#1086;&#1093;&#1086;&#1076;&#1086;&#1074;%20&#1082;&#1086;&#1085;&#1089;.&#1073;&#1076;%202012.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0;&#1041;&#1050;%20201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44;&#1080;&#1085;&#1072;&#1084;&#1080;&#1082;&#1072;%20&#1091;&#1074;%20&#1088;&#1072;&#1089;&#1093;%20&#1082;&#1086;&#1085;&#1089;%20&#1073;&#1076;%202012%20&#1075;&#1086;&#1076;.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1086;&#1076;&#1099;%20&#1073;&#1102;&#1076;&#1078;&#1077;&#1090;&#1072;%20&#1087;&#1086;%20&#1060;&#1050;&#1056;%202012.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20&#1073;&#1102;&#1076;&#1078;&#1077;&#1090;&#1086;&#1074;%20&#1087;&#1086;%20&#1069;&#1050;&#1056;2012.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6;&#1086;&#1090;&#1085;&#1086;&#1096;%20&#1082;&#1072;&#1087;%20&#1088;&#1072;&#1089;&#1093;%202012%20&#1075;&#1086;&#1076;.xls"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20.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6;&#1086;&#1090;&#1085;&#1086;&#1096;%20&#1082;&#1072;&#1087;%20&#1088;&#1072;&#1089;&#1093;%202012%20&#1075;&#1086;&#1076;.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26.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0;&#1085;&#1072;&#1084;&#1080;&#1082;&#1072;%20&#1076;&#1086;&#1093;&#1086;&#1076;&#1086;&#1074;%20&#1082;&#1086;&#1085;&#1089;.&#1073;&#1076;%202012.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0;&#1041;&#1050;%202012.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2012%20%20&#1089;&#1090;&#1088;&#1091;&#1082;&#1090;&#1091;&#1088;&#1072;%20&#1087;&#1086;%20&#1091;&#1088;&#1086;&#1074;&#1085;&#1103;&#1084;%20&#1073;&#1102;&#1076;&#1078;&#1077;&#1090;&#1072;.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1086;&#1076;&#1099;%20&#1073;&#1102;&#1076;&#1078;&#1077;&#1090;&#1072;%20&#1087;&#1086;%20&#1060;&#1050;&#1056;%202012.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1086;&#1076;&#1099;%20&#1073;&#1102;&#1076;&#1078;&#1077;&#1090;&#1072;%20&#1087;&#1086;%20&#1060;&#1050;&#1056;%202012.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1086;&#1076;&#1099;%20&#1073;&#1102;&#1076;&#1078;&#1077;&#1090;&#1072;%20&#1087;&#1086;%20&#1060;&#1050;&#1056;%202012.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1086;&#1076;&#1099;%20&#1073;&#1102;&#1076;&#1078;&#1077;&#1090;&#1072;%20&#1087;&#1086;%20&#1060;&#1050;&#1056;%202012.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1086;&#1076;&#1099;%20&#1073;&#1102;&#1076;&#1078;&#1077;&#1090;&#1072;%20&#1087;&#1086;%20&#1060;&#1050;&#1056;%202012.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20&#1073;&#1102;&#1076;&#1078;&#1077;&#1090;&#1086;&#1074;%20&#1087;&#1086;%20&#1069;&#1050;&#1056;2012.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20&#1073;&#1102;&#1076;&#1078;&#1077;&#1090;&#1086;&#1074;%20&#1087;&#1086;%20&#1069;&#1050;&#1056;2012.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20&#1073;&#1102;&#1076;&#1078;&#1077;&#1090;&#1086;&#1074;%20&#1087;&#1086;%20&#1069;&#1050;&#1056;2012.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20&#1073;&#1102;&#1076;&#1078;&#1077;&#1090;&#1086;&#1074;%20&#1087;&#1086;%20&#1069;&#1050;&#1056;2012.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6;&#1072;&#1089;&#1093;%20&#1073;&#1102;&#1076;&#1078;&#1077;&#1090;&#1086;&#1074;%20&#1087;&#1086;%20&#1069;&#1050;&#1056;2012.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6;&#1086;&#1090;&#1085;&#1086;&#1096;%20&#1082;&#1072;&#1087;%20&#1088;&#1072;&#1089;&#1093;%202012%20&#1075;&#1086;&#1076;.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6;&#1086;&#1090;&#1085;&#1086;&#1096;%20&#1082;&#1072;&#1087;%20&#1088;&#1072;&#1089;&#1093;%202012%20&#1075;&#1086;&#1076;.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57;&#1088;%20&#1079;&#1072;&#1088;&#1072;&#1073;&#1086;&#1090;&#1085;&#1072;&#1103;%20&#1087;&#1083;&#1072;&#1090;&#1072;%20&#1087;&#1086;%20&#1088;&#1079;%202012.xls"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7;&#1050;&#1060;&#1054;%20&#1055;&#1086;%20&#1074;&#1080;&#1076;&#1072;&#1084;.xls"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7;&#1050;&#1060;&#1054;%20&#1055;&#1086;%20&#1074;&#1080;&#1076;&#1072;&#1084;.xls"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7;&#1050;&#1060;&#1054;.xls"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57;&#1050;&#1060;&#1054;.xls"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89;&#1091;&#1073;&#1098;&#1077;&#1082;&#1090;&#1072;&#1084;%20&#1056;&#106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4;&#1086;&#1093;&#1086;&#1076;&#1099;\&#1044;&#1086;&#1093;&#1086;&#1076;&#1099;%20&#1087;&#1086;%20&#1089;&#1091;&#1073;&#1098;&#1077;&#1082;&#1090;&#1072;&#1084;%20&#1056;&#1060;.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7;&#1086;%20&#1057;&#1050;&#1060;&#1054;%202012%20&#1075;&#1086;&#1076;.xls"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7;&#1086;%20&#1057;&#1050;&#1060;&#1054;%202012%20&#1075;&#1086;&#1076;.xls"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5;&#1072;%20&#1060;&#1054;&#1058;%20&#1087;&#1086;%20&#1070;&#1060;&#1054;%202012%20&#1075;&#1086;&#1076;.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5;&#1072;%20&#1060;&#1054;&#1058;%20&#1087;&#1086;%20&#1070;&#1060;&#1054;%202012%20&#1075;&#1086;&#1076;.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5;&#1072;%20&#1060;&#1054;&#1058;%20&#1087;&#1086;%20&#1070;&#1060;&#1054;%202012%20&#1075;&#1086;&#1076;.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5;&#1072;%20&#1060;&#1054;&#1058;%20&#1087;&#1086;%20&#1070;&#1060;&#1054;%202012%20&#1075;&#1086;&#1076;.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5;&#1072;%20&#1060;&#1054;&#1058;%20&#1087;&#1086;%20&#1070;&#1060;&#1054;%202012%20&#1075;&#1086;&#1076;.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56;&#1072;&#1089;&#1093;&#1086;&#1076;&#1099;\&#1088;&#1072;&#1089;&#1093;&#1086;&#1076;&#1099;%20&#1085;&#1072;%20&#1060;&#1054;&#1058;%20&#1087;&#1086;%20&#1070;&#1060;&#1054;%202012%20&#1075;&#1086;&#1076;.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User\&#1052;&#1086;&#1080;%20&#1076;&#1086;&#1082;&#1091;&#1084;&#1077;&#1085;&#1090;&#1099;\&#1050;&#1086;&#1083;&#1083;&#1077;&#1075;&#1080;&#1103;%20&#1052;&#1080;&#1085;&#1092;&#1080;&#1085;&#1072;%20&#1063;&#1056;%20&#1079;&#1072;%202012%20&#1075;&#1086;&#1076;\&#1058;&#1072;&#1073;&#1083;&#1080;&#1094;&#1099;\&#1048;&#1089;&#1090;&#1086;&#1095;&#1085;&#1080;&#1082;&#1080;%20&#1076;&#1072;&#1085;&#1085;&#1099;&#1093;\&#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latin typeface="Times New Roman" pitchFamily="18" charset="0"/>
                <a:cs typeface="Times New Roman" pitchFamily="18" charset="0"/>
              </a:defRPr>
            </a:pPr>
            <a:r>
              <a:rPr lang="ru-RU" sz="1300">
                <a:latin typeface="Times New Roman" pitchFamily="18" charset="0"/>
                <a:cs typeface="Times New Roman" pitchFamily="18" charset="0"/>
              </a:rPr>
              <a:t>Темпы роста ВВП Мира в целом, %</a:t>
            </a:r>
          </a:p>
        </c:rich>
      </c:tx>
      <c:overlay val="0"/>
    </c:title>
    <c:autoTitleDeleted val="0"/>
    <c:plotArea>
      <c:layout/>
      <c:lineChart>
        <c:grouping val="standard"/>
        <c:varyColors val="0"/>
        <c:ser>
          <c:idx val="0"/>
          <c:order val="0"/>
          <c:dLbls>
            <c:dLbl>
              <c:idx val="1"/>
              <c:layout>
                <c:manualLayout>
                  <c:x val="-3.2310183186018117E-2"/>
                  <c:y val="-4.3715841978590485E-2"/>
                </c:manualLayout>
              </c:layout>
              <c:showLegendKey val="0"/>
              <c:showVal val="1"/>
              <c:showCatName val="0"/>
              <c:showSerName val="0"/>
              <c:showPercent val="0"/>
              <c:showBubbleSize val="0"/>
            </c:dLbl>
            <c:dLbl>
              <c:idx val="2"/>
              <c:layout>
                <c:manualLayout>
                  <c:x val="-3.6618207610820533E-2"/>
                  <c:y val="4.3715841978590485E-2"/>
                </c:manualLayout>
              </c:layout>
              <c:showLegendKey val="0"/>
              <c:showVal val="1"/>
              <c:showCatName val="0"/>
              <c:showSerName val="0"/>
              <c:showPercent val="0"/>
              <c:showBubbleSize val="0"/>
            </c:dLbl>
            <c:dLbl>
              <c:idx val="3"/>
              <c:layout>
                <c:manualLayout>
                  <c:x val="-3.8772219823221786E-2"/>
                  <c:y val="-3.4972673582872385E-2"/>
                </c:manualLayout>
              </c:layout>
              <c:showLegendKey val="0"/>
              <c:showVal val="1"/>
              <c:showCatName val="0"/>
              <c:showSerName val="0"/>
              <c:showPercent val="0"/>
              <c:showBubbleSize val="0"/>
            </c:dLbl>
            <c:dLbl>
              <c:idx val="6"/>
              <c:layout>
                <c:manualLayout>
                  <c:x val="-3.2310183186018117E-2"/>
                  <c:y val="6.7030957700505406E-2"/>
                </c:manualLayout>
              </c:layout>
              <c:showLegendKey val="0"/>
              <c:showVal val="1"/>
              <c:showCatName val="0"/>
              <c:showSerName val="0"/>
              <c:showPercent val="0"/>
              <c:showBubbleSize val="0"/>
            </c:dLbl>
            <c:dLbl>
              <c:idx val="8"/>
              <c:layout>
                <c:manualLayout>
                  <c:x val="-1.2924073274407248E-2"/>
                  <c:y val="-3.2058284117633021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Лист7!$D$11:$D$20</c:f>
              <c:strCache>
                <c:ptCount val="10"/>
                <c:pt idx="0">
                  <c:v>2003 год</c:v>
                </c:pt>
                <c:pt idx="1">
                  <c:v>2004 год</c:v>
                </c:pt>
                <c:pt idx="2">
                  <c:v>2005 год</c:v>
                </c:pt>
                <c:pt idx="3">
                  <c:v>2006 год</c:v>
                </c:pt>
                <c:pt idx="4">
                  <c:v>2007 год</c:v>
                </c:pt>
                <c:pt idx="5">
                  <c:v>2008 год</c:v>
                </c:pt>
                <c:pt idx="6">
                  <c:v>2009 год</c:v>
                </c:pt>
                <c:pt idx="7">
                  <c:v>2010 год</c:v>
                </c:pt>
                <c:pt idx="8">
                  <c:v>2011 год</c:v>
                </c:pt>
                <c:pt idx="9">
                  <c:v>2012 год</c:v>
                </c:pt>
              </c:strCache>
            </c:strRef>
          </c:cat>
          <c:val>
            <c:numRef>
              <c:f>Лист7!$E$11:$E$20</c:f>
              <c:numCache>
                <c:formatCode>General</c:formatCode>
                <c:ptCount val="10"/>
                <c:pt idx="0">
                  <c:v>3.8</c:v>
                </c:pt>
                <c:pt idx="1">
                  <c:v>4.9000000000000004</c:v>
                </c:pt>
                <c:pt idx="2">
                  <c:v>4.7</c:v>
                </c:pt>
                <c:pt idx="3">
                  <c:v>5.3</c:v>
                </c:pt>
                <c:pt idx="4">
                  <c:v>5.2</c:v>
                </c:pt>
                <c:pt idx="5">
                  <c:v>3.1</c:v>
                </c:pt>
                <c:pt idx="6">
                  <c:v>-0.8</c:v>
                </c:pt>
                <c:pt idx="7">
                  <c:v>5.0999999999999996</c:v>
                </c:pt>
                <c:pt idx="8">
                  <c:v>3.7</c:v>
                </c:pt>
                <c:pt idx="9">
                  <c:v>3.3</c:v>
                </c:pt>
              </c:numCache>
            </c:numRef>
          </c:val>
          <c:smooth val="0"/>
        </c:ser>
        <c:dLbls>
          <c:showLegendKey val="0"/>
          <c:showVal val="0"/>
          <c:showCatName val="0"/>
          <c:showSerName val="0"/>
          <c:showPercent val="0"/>
          <c:showBubbleSize val="0"/>
        </c:dLbls>
        <c:marker val="1"/>
        <c:smooth val="0"/>
        <c:axId val="164283904"/>
        <c:axId val="164383360"/>
      </c:lineChart>
      <c:catAx>
        <c:axId val="164283904"/>
        <c:scaling>
          <c:orientation val="minMax"/>
        </c:scaling>
        <c:delete val="0"/>
        <c:axPos val="b"/>
        <c:majorTickMark val="out"/>
        <c:minorTickMark val="none"/>
        <c:tickLblPos val="nextTo"/>
        <c:txPr>
          <a:bodyPr rot="-3780000"/>
          <a:lstStyle/>
          <a:p>
            <a:pPr>
              <a:defRPr sz="1200" b="1">
                <a:latin typeface="Times New Roman" pitchFamily="18" charset="0"/>
                <a:cs typeface="Times New Roman" pitchFamily="18" charset="0"/>
              </a:defRPr>
            </a:pPr>
            <a:endParaRPr lang="ru-RU"/>
          </a:p>
        </c:txPr>
        <c:crossAx val="164383360"/>
        <c:crosses val="autoZero"/>
        <c:auto val="1"/>
        <c:lblAlgn val="ctr"/>
        <c:lblOffset val="100"/>
        <c:noMultiLvlLbl val="0"/>
      </c:catAx>
      <c:valAx>
        <c:axId val="164383360"/>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64283904"/>
        <c:crosses val="autoZero"/>
        <c:crossBetween val="between"/>
      </c:valAx>
    </c:plotArea>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pPr>
            <a:r>
              <a:rPr lang="ru-RU" sz="1300" b="1" i="0" u="none" strike="noStrike" baseline="0">
                <a:effectLst/>
                <a:latin typeface="Times New Roman" pitchFamily="18" charset="0"/>
                <a:cs typeface="Times New Roman" pitchFamily="18" charset="0"/>
              </a:rPr>
              <a:t>Виды экономической деятельности занимающие наибольшую долю в объеме продукции обрабатывающих производств </a:t>
            </a:r>
            <a:endParaRPr lang="ru-RU" sz="1300">
              <a:latin typeface="Times New Roman" pitchFamily="18" charset="0"/>
              <a:cs typeface="Times New Roman" pitchFamily="18" charset="0"/>
            </a:endParaRPr>
          </a:p>
        </c:rich>
      </c:tx>
      <c:layout>
        <c:manualLayout>
          <c:xMode val="edge"/>
          <c:yMode val="edge"/>
          <c:x val="0.14041288373296379"/>
          <c:y val="0"/>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7267419987341381"/>
          <c:y val="0.35897636311347186"/>
          <c:w val="0.6703907795673939"/>
          <c:h val="0.50790111245223157"/>
        </c:manualLayout>
      </c:layout>
      <c:pie3DChart>
        <c:varyColors val="1"/>
        <c:ser>
          <c:idx val="0"/>
          <c:order val="0"/>
          <c:explosion val="25"/>
          <c:dLbls>
            <c:dLbl>
              <c:idx val="0"/>
              <c:layout>
                <c:manualLayout>
                  <c:x val="5.8110058052068765E-2"/>
                  <c:y val="-6.0804948443872582E-2"/>
                </c:manualLayout>
              </c:layout>
              <c:tx>
                <c:rich>
                  <a:bodyPr/>
                  <a:lstStyle/>
                  <a:p>
                    <a:r>
                      <a:rPr lang="ru-RU"/>
                      <a:t>как производство прочих неметаллических минеральных продуктов</a:t>
                    </a:r>
                  </a:p>
                  <a:p>
                    <a:r>
                      <a:rPr lang="ru-RU"/>
                      <a:t>42,3</a:t>
                    </a:r>
                  </a:p>
                </c:rich>
              </c:tx>
              <c:showLegendKey val="0"/>
              <c:showVal val="1"/>
              <c:showCatName val="1"/>
              <c:showSerName val="0"/>
              <c:showPercent val="0"/>
              <c:showBubbleSize val="0"/>
            </c:dLbl>
            <c:dLbl>
              <c:idx val="1"/>
              <c:layout>
                <c:manualLayout>
                  <c:x val="-4.3949272094001464E-2"/>
                  <c:y val="-4.5738725232696087E-3"/>
                </c:manualLayout>
              </c:layout>
              <c:tx>
                <c:rich>
                  <a:bodyPr/>
                  <a:lstStyle/>
                  <a:p>
                    <a:r>
                      <a:rPr lang="ru-RU"/>
                      <a:t>производство пищевых продуктов, включая напитки и табак</a:t>
                    </a:r>
                  </a:p>
                  <a:p>
                    <a:r>
                      <a:rPr lang="ru-RU"/>
                      <a:t>19,1</a:t>
                    </a:r>
                  </a:p>
                </c:rich>
              </c:tx>
              <c:showLegendKey val="0"/>
              <c:showVal val="1"/>
              <c:showCatName val="1"/>
              <c:showSerName val="0"/>
              <c:showPercent val="0"/>
              <c:showBubbleSize val="0"/>
            </c:dLbl>
            <c:dLbl>
              <c:idx val="2"/>
              <c:layout>
                <c:manualLayout>
                  <c:x val="-0.1204635772749396"/>
                  <c:y val="4.0352555968057043E-2"/>
                </c:manualLayout>
              </c:layout>
              <c:tx>
                <c:rich>
                  <a:bodyPr/>
                  <a:lstStyle/>
                  <a:p>
                    <a:r>
                      <a:rPr lang="ru-RU"/>
                      <a:t>производство транспортных средств и оборудования</a:t>
                    </a:r>
                  </a:p>
                  <a:p>
                    <a:r>
                      <a:rPr lang="ru-RU"/>
                      <a:t>15,6</a:t>
                    </a:r>
                  </a:p>
                </c:rich>
              </c:tx>
              <c:showLegendKey val="0"/>
              <c:showVal val="1"/>
              <c:showCatName val="1"/>
              <c:showSerName val="0"/>
              <c:showPercent val="0"/>
              <c:showBubbleSize val="0"/>
            </c:dLbl>
            <c:dLbl>
              <c:idx val="3"/>
              <c:tx>
                <c:rich>
                  <a:bodyPr/>
                  <a:lstStyle/>
                  <a:p>
                    <a:r>
                      <a:rPr lang="ru-RU"/>
                      <a:t>производство электрических машин и электрооборудования 13,3</a:t>
                    </a:r>
                  </a:p>
                </c:rich>
              </c:tx>
              <c:showLegendKey val="0"/>
              <c:showVal val="1"/>
              <c:showCatName val="1"/>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dLbls>
          <c:cat>
            <c:strRef>
              <c:f>Лист6!$B$6:$B$9</c:f>
              <c:strCache>
                <c:ptCount val="4"/>
                <c:pt idx="0">
                  <c:v>как производство прочих неметаллических минеральных продуктов</c:v>
                </c:pt>
                <c:pt idx="1">
                  <c:v>производство пищевых продуктов, включая напитки и табак</c:v>
                </c:pt>
                <c:pt idx="2">
                  <c:v>производство транспортных средств и оборудования</c:v>
                </c:pt>
                <c:pt idx="3">
                  <c:v>производство электрических машин и электрооборудования</c:v>
                </c:pt>
              </c:strCache>
            </c:strRef>
          </c:cat>
          <c:val>
            <c:numRef>
              <c:f>Лист6!$C$6:$C$9</c:f>
              <c:numCache>
                <c:formatCode>#,##0.0</c:formatCode>
                <c:ptCount val="4"/>
                <c:pt idx="0">
                  <c:v>42.3</c:v>
                </c:pt>
                <c:pt idx="1">
                  <c:v>19.100000000000001</c:v>
                </c:pt>
                <c:pt idx="2">
                  <c:v>15.6</c:v>
                </c:pt>
                <c:pt idx="3">
                  <c:v>13.3</c:v>
                </c:pt>
              </c:numCache>
            </c:numRef>
          </c:val>
        </c:ser>
        <c:dLbls>
          <c:showLegendKey val="0"/>
          <c:showVal val="1"/>
          <c:showCatName val="0"/>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i="0" u="none" strike="noStrike" baseline="0">
                <a:solidFill>
                  <a:srgbClr val="000000"/>
                </a:solidFill>
                <a:latin typeface="Arial Cyr"/>
                <a:ea typeface="Arial Cyr"/>
                <a:cs typeface="Arial Cyr"/>
              </a:defRPr>
            </a:pPr>
            <a:r>
              <a:rPr lang="ru-RU" sz="1200" b="1" i="0" u="none" strike="noStrike" baseline="0">
                <a:solidFill>
                  <a:srgbClr val="000000"/>
                </a:solidFill>
                <a:latin typeface="Times New Roman"/>
                <a:cs typeface="Times New Roman"/>
              </a:rPr>
              <a:t>Динамика увеличения налоговых и неналоговых поступлений на душу населения по СКФО за 2011-2012 годы</a:t>
            </a:r>
          </a:p>
        </c:rich>
      </c:tx>
      <c:layout>
        <c:manualLayout>
          <c:xMode val="edge"/>
          <c:yMode val="edge"/>
          <c:x val="0.14582160332857061"/>
          <c:y val="8.333763933218595E-4"/>
        </c:manualLayout>
      </c:layout>
      <c:overlay val="0"/>
      <c:spPr>
        <a:noFill/>
        <a:ln w="25400">
          <a:noFill/>
        </a:ln>
      </c:spPr>
    </c:title>
    <c:autoTitleDeleted val="0"/>
    <c:view3D>
      <c:rotX val="44"/>
      <c:hPercent val="54"/>
      <c:rotY val="44"/>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312771833527458"/>
          <c:y val="9.9934681309712614E-2"/>
          <c:w val="0.84225101120876922"/>
          <c:h val="0.62226386941358358"/>
        </c:manualLayout>
      </c:layout>
      <c:bar3DChart>
        <c:barDir val="col"/>
        <c:grouping val="clustered"/>
        <c:varyColors val="0"/>
        <c:ser>
          <c:idx val="0"/>
          <c:order val="0"/>
          <c:tx>
            <c:strRef>
              <c:f>Лист1!$C$6</c:f>
              <c:strCache>
                <c:ptCount val="1"/>
                <c:pt idx="0">
                  <c:v>Поступило налоговых и неналоговых доходов 
2011 году,
тыс. руб.</c:v>
                </c:pt>
              </c:strCache>
            </c:strRef>
          </c:tx>
          <c:spPr>
            <a:solidFill>
              <a:srgbClr val="9999FF"/>
            </a:solidFill>
            <a:ln w="12700">
              <a:solidFill>
                <a:srgbClr val="000000"/>
              </a:solidFill>
              <a:prstDash val="solid"/>
            </a:ln>
          </c:spPr>
          <c:invertIfNegative val="0"/>
          <c:dLbls>
            <c:dLbl>
              <c:idx val="0"/>
              <c:layout>
                <c:manualLayout>
                  <c:x val="5.9043778468141975E-3"/>
                  <c:y val="-1.8872958163073869E-2"/>
                </c:manualLayout>
              </c:layout>
              <c:showLegendKey val="0"/>
              <c:showVal val="1"/>
              <c:showCatName val="0"/>
              <c:showSerName val="0"/>
              <c:showPercent val="0"/>
              <c:showBubbleSize val="0"/>
            </c:dLbl>
            <c:dLbl>
              <c:idx val="1"/>
              <c:layout>
                <c:manualLayout>
                  <c:x val="-2.9762446139001628E-3"/>
                  <c:y val="-2.4976762826922086E-2"/>
                </c:manualLayout>
              </c:layout>
              <c:showLegendKey val="0"/>
              <c:showVal val="1"/>
              <c:showCatName val="0"/>
              <c:showSerName val="0"/>
              <c:showPercent val="0"/>
              <c:showBubbleSize val="0"/>
            </c:dLbl>
            <c:dLbl>
              <c:idx val="2"/>
              <c:layout>
                <c:manualLayout>
                  <c:x val="-4.4459543565790466E-4"/>
                  <c:y val="-1.8266341664149581E-2"/>
                </c:manualLayout>
              </c:layout>
              <c:showLegendKey val="0"/>
              <c:showVal val="1"/>
              <c:showCatName val="0"/>
              <c:showSerName val="0"/>
              <c:showPercent val="0"/>
              <c:showBubbleSize val="0"/>
            </c:dLbl>
            <c:dLbl>
              <c:idx val="3"/>
              <c:layout>
                <c:manualLayout>
                  <c:x val="5.6401864850961544E-3"/>
                  <c:y val="-3.6087093976616365E-2"/>
                </c:manualLayout>
              </c:layout>
              <c:showLegendKey val="0"/>
              <c:showVal val="1"/>
              <c:showCatName val="0"/>
              <c:showSerName val="0"/>
              <c:showPercent val="0"/>
              <c:showBubbleSize val="0"/>
            </c:dLbl>
            <c:dLbl>
              <c:idx val="4"/>
              <c:layout>
                <c:manualLayout>
                  <c:x val="2.4656998438601033E-3"/>
                  <c:y val="-3.2256428592046638E-2"/>
                </c:manualLayout>
              </c:layout>
              <c:showLegendKey val="0"/>
              <c:showVal val="1"/>
              <c:showCatName val="0"/>
              <c:showSerName val="0"/>
              <c:showPercent val="0"/>
              <c:showBubbleSize val="0"/>
            </c:dLbl>
            <c:dLbl>
              <c:idx val="5"/>
              <c:layout>
                <c:manualLayout>
                  <c:x val="6.5065120344974482E-3"/>
                  <c:y val="-2.4820952849841187E-2"/>
                </c:manualLayout>
              </c:layout>
              <c:showLegendKey val="0"/>
              <c:showVal val="1"/>
              <c:showCatName val="0"/>
              <c:showSerName val="0"/>
              <c:showPercent val="0"/>
              <c:showBubbleSize val="0"/>
            </c:dLbl>
            <c:dLbl>
              <c:idx val="6"/>
              <c:layout>
                <c:manualLayout>
                  <c:x val="-9.3862909937198521E-4"/>
                  <c:y val="-1.4293613793132562E-2"/>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Лист1!$F$9:$F$15</c:f>
              <c:numCache>
                <c:formatCode>#,##0.0</c:formatCode>
                <c:ptCount val="7"/>
                <c:pt idx="0">
                  <c:v>6346.3177539278113</c:v>
                </c:pt>
                <c:pt idx="1">
                  <c:v>6650.8801775398088</c:v>
                </c:pt>
                <c:pt idx="2">
                  <c:v>11880.010909316314</c:v>
                </c:pt>
                <c:pt idx="3">
                  <c:v>11478.111616348027</c:v>
                </c:pt>
                <c:pt idx="4">
                  <c:v>11534.77520054102</c:v>
                </c:pt>
                <c:pt idx="5">
                  <c:v>7951.6567100482653</c:v>
                </c:pt>
                <c:pt idx="6">
                  <c:v>18471.736338446302</c:v>
                </c:pt>
              </c:numCache>
            </c:numRef>
          </c:val>
        </c:ser>
        <c:ser>
          <c:idx val="1"/>
          <c:order val="1"/>
          <c:tx>
            <c:strRef>
              <c:f>Лист1!$D$6</c:f>
              <c:strCache>
                <c:ptCount val="1"/>
                <c:pt idx="0">
                  <c:v>Поступило налоговых и неналоговых доходов 
2012 году,
тыс. руб.</c:v>
                </c:pt>
              </c:strCache>
            </c:strRef>
          </c:tx>
          <c:spPr>
            <a:solidFill>
              <a:srgbClr val="FF9900"/>
            </a:solidFill>
            <a:ln w="12700">
              <a:solidFill>
                <a:srgbClr val="000000"/>
              </a:solidFill>
              <a:prstDash val="solid"/>
            </a:ln>
          </c:spPr>
          <c:invertIfNegative val="0"/>
          <c:dPt>
            <c:idx val="5"/>
            <c:invertIfNegative val="0"/>
            <c:bubble3D val="0"/>
            <c:spPr>
              <a:solidFill>
                <a:schemeClr val="accent6">
                  <a:lumMod val="60000"/>
                  <a:lumOff val="40000"/>
                </a:schemeClr>
              </a:solidFill>
              <a:ln w="12700">
                <a:solidFill>
                  <a:srgbClr val="000000"/>
                </a:solidFill>
                <a:prstDash val="solid"/>
              </a:ln>
            </c:spPr>
          </c:dPt>
          <c:dLbls>
            <c:dLbl>
              <c:idx val="0"/>
              <c:layout>
                <c:manualLayout>
                  <c:x val="8.0838353090727892E-3"/>
                  <c:y val="-2.9949590039511045E-2"/>
                </c:manualLayout>
              </c:layout>
              <c:showLegendKey val="0"/>
              <c:showVal val="1"/>
              <c:showCatName val="0"/>
              <c:showSerName val="0"/>
              <c:showPercent val="0"/>
              <c:showBubbleSize val="0"/>
            </c:dLbl>
            <c:dLbl>
              <c:idx val="1"/>
              <c:layout>
                <c:manualLayout>
                  <c:x val="1.2088068998216161E-2"/>
                  <c:y val="-1.4470340731438732E-2"/>
                </c:manualLayout>
              </c:layout>
              <c:showLegendKey val="0"/>
              <c:showVal val="1"/>
              <c:showCatName val="0"/>
              <c:showSerName val="0"/>
              <c:showPercent val="0"/>
              <c:showBubbleSize val="0"/>
            </c:dLbl>
            <c:dLbl>
              <c:idx val="2"/>
              <c:layout>
                <c:manualLayout>
                  <c:x val="1.4711821239113281E-2"/>
                  <c:y val="-2.0396001323325502E-2"/>
                </c:manualLayout>
              </c:layout>
              <c:showLegendKey val="0"/>
              <c:showVal val="1"/>
              <c:showCatName val="0"/>
              <c:showSerName val="0"/>
              <c:showPercent val="0"/>
              <c:showBubbleSize val="0"/>
            </c:dLbl>
            <c:dLbl>
              <c:idx val="3"/>
              <c:layout>
                <c:manualLayout>
                  <c:x val="8.8484515653536391E-3"/>
                  <c:y val="-2.1235339866841139E-2"/>
                </c:manualLayout>
              </c:layout>
              <c:showLegendKey val="0"/>
              <c:showVal val="1"/>
              <c:showCatName val="0"/>
              <c:showSerName val="0"/>
              <c:showPercent val="0"/>
              <c:showBubbleSize val="0"/>
            </c:dLbl>
            <c:dLbl>
              <c:idx val="4"/>
              <c:layout>
                <c:manualLayout>
                  <c:x val="1.6922780907311797E-2"/>
                  <c:y val="-1.9811845080936554E-2"/>
                </c:manualLayout>
              </c:layout>
              <c:showLegendKey val="0"/>
              <c:showVal val="1"/>
              <c:showCatName val="0"/>
              <c:showSerName val="0"/>
              <c:showPercent val="0"/>
              <c:showBubbleSize val="0"/>
            </c:dLbl>
            <c:dLbl>
              <c:idx val="5"/>
              <c:layout>
                <c:manualLayout>
                  <c:x val="6.6147087548772297E-3"/>
                  <c:y val="-2.1449776847223271E-2"/>
                </c:manualLayout>
              </c:layout>
              <c:showLegendKey val="0"/>
              <c:showVal val="1"/>
              <c:showCatName val="0"/>
              <c:showSerName val="0"/>
              <c:showPercent val="0"/>
              <c:showBubbleSize val="0"/>
            </c:dLbl>
            <c:dLbl>
              <c:idx val="6"/>
              <c:layout>
                <c:manualLayout>
                  <c:x val="1.225848553271597E-2"/>
                  <c:y val="2.0165840440797742E-3"/>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Лист1!$G$9:$G$15</c:f>
              <c:numCache>
                <c:formatCode>#,##0.0</c:formatCode>
                <c:ptCount val="7"/>
                <c:pt idx="0">
                  <c:v>7543.4614888417818</c:v>
                </c:pt>
                <c:pt idx="1">
                  <c:v>6329.4917481995681</c:v>
                </c:pt>
                <c:pt idx="2">
                  <c:v>12724.528631147943</c:v>
                </c:pt>
                <c:pt idx="3">
                  <c:v>11974.134086706074</c:v>
                </c:pt>
                <c:pt idx="4">
                  <c:v>13041.638559103725</c:v>
                </c:pt>
                <c:pt idx="5">
                  <c:v>8794.4568569944749</c:v>
                </c:pt>
                <c:pt idx="6">
                  <c:v>20127.903911326026</c:v>
                </c:pt>
              </c:numCache>
            </c:numRef>
          </c:val>
        </c:ser>
        <c:dLbls>
          <c:showLegendKey val="0"/>
          <c:showVal val="0"/>
          <c:showCatName val="0"/>
          <c:showSerName val="0"/>
          <c:showPercent val="0"/>
          <c:showBubbleSize val="0"/>
        </c:dLbls>
        <c:gapWidth val="150"/>
        <c:shape val="box"/>
        <c:axId val="163118080"/>
        <c:axId val="164750080"/>
        <c:axId val="0"/>
      </c:bar3DChart>
      <c:catAx>
        <c:axId val="163118080"/>
        <c:scaling>
          <c:orientation val="minMax"/>
        </c:scaling>
        <c:delete val="0"/>
        <c:axPos val="b"/>
        <c:numFmt formatCode="General" sourceLinked="1"/>
        <c:majorTickMark val="out"/>
        <c:minorTickMark val="none"/>
        <c:tickLblPos val="low"/>
        <c:spPr>
          <a:ln w="3175">
            <a:solidFill>
              <a:srgbClr val="000000"/>
            </a:solidFill>
            <a:prstDash val="solid"/>
          </a:ln>
        </c:spPr>
        <c:txPr>
          <a:bodyPr rot="-96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164750080"/>
        <c:crosses val="autoZero"/>
        <c:auto val="1"/>
        <c:lblAlgn val="ctr"/>
        <c:lblOffset val="100"/>
        <c:tickLblSkip val="1"/>
        <c:tickMarkSkip val="1"/>
        <c:noMultiLvlLbl val="0"/>
      </c:catAx>
      <c:valAx>
        <c:axId val="164750080"/>
        <c:scaling>
          <c:orientation val="minMax"/>
        </c:scaling>
        <c:delete val="0"/>
        <c:axPos val="l"/>
        <c:majorGridlines>
          <c:spPr>
            <a:ln w="3175">
              <a:solidFill>
                <a:srgbClr val="000000"/>
              </a:solidFill>
              <a:prstDash val="solid"/>
            </a:ln>
          </c:spPr>
        </c:majorGridlines>
        <c:title>
          <c:tx>
            <c:rich>
              <a:bodyPr/>
              <a:lstStyle/>
              <a:p>
                <a:pPr>
                  <a:defRPr sz="1100" b="1" i="0" u="none" strike="noStrike" baseline="0">
                    <a:solidFill>
                      <a:srgbClr val="000000"/>
                    </a:solidFill>
                    <a:latin typeface="Times New Roman" pitchFamily="18" charset="0"/>
                    <a:ea typeface="Arial Cyr"/>
                    <a:cs typeface="Times New Roman" pitchFamily="18" charset="0"/>
                  </a:defRPr>
                </a:pPr>
                <a:r>
                  <a:rPr lang="ru-RU" sz="1100">
                    <a:latin typeface="Times New Roman" pitchFamily="18" charset="0"/>
                    <a:cs typeface="Times New Roman" pitchFamily="18" charset="0"/>
                  </a:rPr>
                  <a:t>Рублей</a:t>
                </a:r>
              </a:p>
            </c:rich>
          </c:tx>
          <c:layout>
            <c:manualLayout>
              <c:xMode val="edge"/>
              <c:yMode val="edge"/>
              <c:x val="8.8100084683803301E-2"/>
              <c:y val="0.28950598640923308"/>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100" b="1" i="0" u="none" strike="noStrike" baseline="0">
                <a:solidFill>
                  <a:srgbClr val="000000"/>
                </a:solidFill>
                <a:latin typeface="Times New Roman" pitchFamily="18" charset="0"/>
                <a:ea typeface="Arial Cyr"/>
                <a:cs typeface="Times New Roman" pitchFamily="18" charset="0"/>
              </a:defRPr>
            </a:pPr>
            <a:endParaRPr lang="ru-RU"/>
          </a:p>
        </c:txPr>
        <c:crossAx val="163118080"/>
        <c:crosses val="autoZero"/>
        <c:crossBetween val="between"/>
      </c:valAx>
      <c:spPr>
        <a:noFill/>
        <a:ln w="25400">
          <a:noFill/>
        </a:ln>
      </c:spPr>
    </c:plotArea>
    <c:legend>
      <c:legendPos val="r"/>
      <c:layout>
        <c:manualLayout>
          <c:xMode val="edge"/>
          <c:yMode val="edge"/>
          <c:x val="3.0640177993782842E-2"/>
          <c:y val="0.91405997195556032"/>
          <c:w val="0.93421099416681141"/>
          <c:h val="8.397062524718657E-2"/>
        </c:manualLayout>
      </c:layout>
      <c:overlay val="0"/>
      <c:spPr>
        <a:solidFill>
          <a:srgbClr val="FFFFFF"/>
        </a:solidFill>
        <a:ln w="3175">
          <a:noFill/>
          <a:prstDash val="solid"/>
        </a:ln>
      </c:spPr>
      <c:txPr>
        <a:bodyPr/>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3175">
      <a:noFill/>
      <a:prstDash val="solid"/>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200">
                <a:latin typeface="Times New Roman" pitchFamily="18" charset="0"/>
                <a:cs typeface="Times New Roman" pitchFamily="18" charset="0"/>
              </a:rPr>
              <a:t>Расходы консолидированных бюджетов субъектов СКФО в расчете на душу населения за 2012 год</a:t>
            </a:r>
            <a:endParaRPr lang="ru-RU" sz="1400">
              <a:latin typeface="Times New Roman" pitchFamily="18" charset="0"/>
              <a:cs typeface="Times New Roman" pitchFamily="18" charset="0"/>
            </a:endParaRPr>
          </a:p>
        </c:rich>
      </c:tx>
      <c:layout>
        <c:manualLayout>
          <c:xMode val="edge"/>
          <c:yMode val="edge"/>
          <c:x val="0.11483747223904704"/>
          <c:y val="1.431449963938644E-3"/>
        </c:manualLayout>
      </c:layout>
      <c:overlay val="0"/>
      <c:spPr>
        <a:noFill/>
        <a:ln w="25400">
          <a:noFill/>
        </a:ln>
      </c:spPr>
    </c:title>
    <c:autoTitleDeleted val="0"/>
    <c:view3D>
      <c:rotX val="15"/>
      <c:hPercent val="50"/>
      <c:rotY val="20"/>
      <c:depthPercent val="100"/>
      <c:rAngAx val="1"/>
    </c:view3D>
    <c:floor>
      <c:thickness val="0"/>
      <c:spPr>
        <a:solidFill>
          <a:srgbClr val="C0C0C0"/>
        </a:solidFill>
        <a:ln w="3175">
          <a:solidFill>
            <a:srgbClr val="000000"/>
          </a:solidFill>
          <a:prstDash val="solid"/>
        </a:ln>
      </c:spPr>
    </c:floor>
    <c:sideWall>
      <c:thickness val="0"/>
      <c:spPr>
        <a:solidFill>
          <a:srgbClr val="99CCFF"/>
        </a:solidFill>
        <a:ln w="12700">
          <a:solidFill>
            <a:srgbClr val="808080"/>
          </a:solidFill>
          <a:prstDash val="solid"/>
        </a:ln>
      </c:spPr>
    </c:sideWall>
    <c:backWall>
      <c:thickness val="0"/>
      <c:spPr>
        <a:solidFill>
          <a:srgbClr val="99CCFF"/>
        </a:solidFill>
        <a:ln w="12700">
          <a:solidFill>
            <a:srgbClr val="808080"/>
          </a:solidFill>
          <a:prstDash val="solid"/>
        </a:ln>
      </c:spPr>
    </c:backWall>
    <c:plotArea>
      <c:layout>
        <c:manualLayout>
          <c:layoutTarget val="inner"/>
          <c:xMode val="edge"/>
          <c:yMode val="edge"/>
          <c:x val="0.10569127029852975"/>
          <c:y val="0.12208258527827648"/>
          <c:w val="0.88753462219661561"/>
          <c:h val="0.62716935966487131"/>
        </c:manualLayout>
      </c:layout>
      <c:bar3DChart>
        <c:barDir val="col"/>
        <c:grouping val="clustered"/>
        <c:varyColors val="0"/>
        <c:ser>
          <c:idx val="0"/>
          <c:order val="0"/>
          <c:tx>
            <c:strRef>
              <c:f>Лист1!$F$3</c:f>
              <c:strCache>
                <c:ptCount val="1"/>
                <c:pt idx="0">
                  <c:v>Расходы консол-ных бюджетов в расчете на душу населения,
 руб.</c:v>
                </c:pt>
              </c:strCache>
            </c:strRef>
          </c:tx>
          <c:spPr>
            <a:solidFill>
              <a:srgbClr val="FF99CC"/>
            </a:solidFill>
            <a:ln w="12700">
              <a:solidFill>
                <a:srgbClr val="000000"/>
              </a:solidFill>
              <a:prstDash val="solid"/>
            </a:ln>
          </c:spPr>
          <c:invertIfNegative val="0"/>
          <c:dPt>
            <c:idx val="0"/>
            <c:invertIfNegative val="0"/>
            <c:bubble3D val="0"/>
            <c:spPr>
              <a:solidFill>
                <a:schemeClr val="accent3">
                  <a:lumMod val="40000"/>
                  <a:lumOff val="60000"/>
                </a:schemeClr>
              </a:solidFill>
              <a:ln w="12700">
                <a:solidFill>
                  <a:srgbClr val="000000"/>
                </a:solidFill>
                <a:prstDash val="solid"/>
              </a:ln>
            </c:spPr>
          </c:dPt>
          <c:dPt>
            <c:idx val="6"/>
            <c:invertIfNegative val="0"/>
            <c:bubble3D val="0"/>
            <c:spPr>
              <a:solidFill>
                <a:schemeClr val="accent3">
                  <a:lumMod val="60000"/>
                  <a:lumOff val="40000"/>
                </a:schemeClr>
              </a:solidFill>
              <a:ln w="12700">
                <a:solidFill>
                  <a:srgbClr val="000000"/>
                </a:solidFill>
                <a:prstDash val="solid"/>
              </a:ln>
            </c:spPr>
          </c:dPt>
          <c:dLbls>
            <c:dLbl>
              <c:idx val="0"/>
              <c:layout>
                <c:manualLayout>
                  <c:x val="-1.3945970168363101E-3"/>
                  <c:y val="0.25399152754020649"/>
                </c:manualLayout>
              </c:layout>
              <c:showLegendKey val="0"/>
              <c:showVal val="1"/>
              <c:showCatName val="0"/>
              <c:showSerName val="0"/>
              <c:showPercent val="0"/>
              <c:showBubbleSize val="0"/>
            </c:dLbl>
            <c:dLbl>
              <c:idx val="1"/>
              <c:layout>
                <c:manualLayout>
                  <c:x val="-9.9754357628373366E-4"/>
                  <c:y val="0.2284039016332072"/>
                </c:manualLayout>
              </c:layout>
              <c:showLegendKey val="0"/>
              <c:showVal val="1"/>
              <c:showCatName val="0"/>
              <c:showSerName val="0"/>
              <c:showPercent val="0"/>
              <c:showBubbleSize val="0"/>
            </c:dLbl>
            <c:dLbl>
              <c:idx val="2"/>
              <c:layout>
                <c:manualLayout>
                  <c:x val="-2.6193372169942174E-4"/>
                  <c:y val="0.36869336575297929"/>
                </c:manualLayout>
              </c:layout>
              <c:showLegendKey val="0"/>
              <c:showVal val="1"/>
              <c:showCatName val="0"/>
              <c:showSerName val="0"/>
              <c:showPercent val="0"/>
              <c:showBubbleSize val="0"/>
            </c:dLbl>
            <c:dLbl>
              <c:idx val="3"/>
              <c:layout>
                <c:manualLayout>
                  <c:x val="-2.0367880844162771E-4"/>
                  <c:y val="0.19432448861307058"/>
                </c:manualLayout>
              </c:layout>
              <c:showLegendKey val="0"/>
              <c:showVal val="1"/>
              <c:showCatName val="0"/>
              <c:showSerName val="0"/>
              <c:showPercent val="0"/>
              <c:showBubbleSize val="0"/>
            </c:dLbl>
            <c:dLbl>
              <c:idx val="4"/>
              <c:layout>
                <c:manualLayout>
                  <c:x val="-1.4553058916415935E-4"/>
                  <c:y val="0.3213084719885777"/>
                </c:manualLayout>
              </c:layout>
              <c:showLegendKey val="0"/>
              <c:showVal val="1"/>
              <c:showCatName val="0"/>
              <c:showSerName val="0"/>
              <c:showPercent val="0"/>
              <c:showBubbleSize val="0"/>
            </c:dLbl>
            <c:dLbl>
              <c:idx val="5"/>
              <c:layout>
                <c:manualLayout>
                  <c:x val="2.6227514243646372E-3"/>
                  <c:y val="0.19975930297761255"/>
                </c:manualLayout>
              </c:layout>
              <c:showLegendKey val="0"/>
              <c:showVal val="1"/>
              <c:showCatName val="0"/>
              <c:showSerName val="0"/>
              <c:showPercent val="0"/>
              <c:showBubbleSize val="0"/>
            </c:dLbl>
            <c:dLbl>
              <c:idx val="6"/>
              <c:layout>
                <c:manualLayout>
                  <c:x val="-2.7390806918365972E-3"/>
                  <c:y val="0.39844404103667214"/>
                </c:manualLayout>
              </c:layout>
              <c:showLegendKey val="0"/>
              <c:showVal val="1"/>
              <c:showCatName val="0"/>
              <c:showSerName val="0"/>
              <c:showPercent val="0"/>
              <c:showBubbleSize val="0"/>
            </c:dLbl>
            <c:dLbl>
              <c:idx val="7"/>
              <c:layout>
                <c:manualLayout>
                  <c:x val="1.3841410067643983E-3"/>
                  <c:y val="0.21753130050844183"/>
                </c:manualLayout>
              </c:layout>
              <c:showLegendKey val="0"/>
              <c:showVal val="1"/>
              <c:showCatName val="0"/>
              <c:showSerName val="0"/>
              <c:showPercent val="0"/>
              <c:showBubbleSize val="0"/>
            </c:dLbl>
            <c:dLbl>
              <c:idx val="8"/>
              <c:layout>
                <c:manualLayout>
                  <c:xMode val="edge"/>
                  <c:yMode val="edge"/>
                  <c:x val="0.89634235298204168"/>
                  <c:y val="0.47396768402154404"/>
                </c:manualLayout>
              </c:layout>
              <c:showLegendKey val="0"/>
              <c:showVal val="1"/>
              <c:showCatName val="0"/>
              <c:showSerName val="0"/>
              <c:showPercent val="0"/>
              <c:showBubbleSize val="0"/>
            </c:dLbl>
            <c:dLbl>
              <c:idx val="9"/>
              <c:layout>
                <c:manualLayout>
                  <c:xMode val="edge"/>
                  <c:yMode val="edge"/>
                  <c:x val="0.90142365883794895"/>
                  <c:y val="0.45960502692998206"/>
                </c:manualLayout>
              </c:layout>
              <c:showLegendKey val="0"/>
              <c:showVal val="1"/>
              <c:showCatName val="0"/>
              <c:showSerName val="0"/>
              <c:showPercent val="0"/>
              <c:showBubbleSize val="0"/>
            </c:dLbl>
            <c:dLbl>
              <c:idx val="10"/>
              <c:layout>
                <c:manualLayout>
                  <c:xMode val="edge"/>
                  <c:yMode val="edge"/>
                  <c:x val="0.90650496469385633"/>
                  <c:y val="0.45780969479353678"/>
                </c:manualLayout>
              </c:layout>
              <c:showLegendKey val="0"/>
              <c:showVal val="1"/>
              <c:showCatName val="0"/>
              <c:showSerName val="0"/>
              <c:showPercent val="0"/>
              <c:showBubbleSize val="0"/>
            </c:dLbl>
            <c:dLbl>
              <c:idx val="11"/>
              <c:layout>
                <c:manualLayout>
                  <c:xMode val="edge"/>
                  <c:yMode val="edge"/>
                  <c:x val="0.90853748703621906"/>
                  <c:y val="0.50089766606822261"/>
                </c:manualLayout>
              </c:layout>
              <c:showLegendKey val="0"/>
              <c:showVal val="1"/>
              <c:showCatName val="0"/>
              <c:showSerName val="0"/>
              <c:showPercent val="0"/>
              <c:showBubbleSize val="0"/>
            </c:dLbl>
            <c:dLbl>
              <c:idx val="12"/>
              <c:layout>
                <c:manualLayout>
                  <c:xMode val="edge"/>
                  <c:yMode val="edge"/>
                  <c:x val="0.91361879289212644"/>
                  <c:y val="0.48833034111310591"/>
                </c:manualLayout>
              </c:layout>
              <c:showLegendKey val="0"/>
              <c:showVal val="1"/>
              <c:showCatName val="0"/>
              <c:showSerName val="0"/>
              <c:showPercent val="0"/>
              <c:showBubbleSize val="0"/>
            </c:dLbl>
            <c:dLbl>
              <c:idx val="13"/>
              <c:layout>
                <c:manualLayout>
                  <c:xMode val="edge"/>
                  <c:yMode val="edge"/>
                  <c:x val="0.91463505406330803"/>
                  <c:y val="0.46858168761220836"/>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Лист1!$B$4:$B$11</c:f>
              <c:strCache>
                <c:ptCount val="8"/>
                <c:pt idx="0">
                  <c:v>В целом по СКФО</c:v>
                </c:pt>
                <c:pt idx="1">
                  <c:v>Республика Дагестан</c:v>
                </c:pt>
                <c:pt idx="2">
                  <c:v>Республика Ингушетия</c:v>
                </c:pt>
                <c:pt idx="3">
                  <c:v>Кабардино-Балкарская республика</c:v>
                </c:pt>
                <c:pt idx="4">
                  <c:v>Карачаево-Черкесская республика</c:v>
                </c:pt>
                <c:pt idx="5">
                  <c:v>Республика Северная Осетия</c:v>
                </c:pt>
                <c:pt idx="6">
                  <c:v>Чеченская Республика*</c:v>
                </c:pt>
                <c:pt idx="7">
                  <c:v>Ставропольский край</c:v>
                </c:pt>
              </c:strCache>
            </c:strRef>
          </c:cat>
          <c:val>
            <c:numRef>
              <c:f>Лист1!$F$4:$F$11</c:f>
              <c:numCache>
                <c:formatCode>#,##0.0</c:formatCode>
                <c:ptCount val="8"/>
                <c:pt idx="0">
                  <c:v>35464.216273241596</c:v>
                </c:pt>
                <c:pt idx="1">
                  <c:v>27530.472930783239</c:v>
                </c:pt>
                <c:pt idx="2">
                  <c:v>46718.630997569271</c:v>
                </c:pt>
                <c:pt idx="3">
                  <c:v>29063.054758483075</c:v>
                </c:pt>
                <c:pt idx="4">
                  <c:v>43673.735814109226</c:v>
                </c:pt>
                <c:pt idx="5">
                  <c:v>31022.16740525376</c:v>
                </c:pt>
                <c:pt idx="6">
                  <c:v>58524.919114463155</c:v>
                </c:pt>
                <c:pt idx="7">
                  <c:v>32815.124368132987</c:v>
                </c:pt>
              </c:numCache>
            </c:numRef>
          </c:val>
        </c:ser>
        <c:dLbls>
          <c:showLegendKey val="0"/>
          <c:showVal val="0"/>
          <c:showCatName val="0"/>
          <c:showSerName val="0"/>
          <c:showPercent val="0"/>
          <c:showBubbleSize val="0"/>
        </c:dLbls>
        <c:gapWidth val="150"/>
        <c:shape val="box"/>
        <c:axId val="166939264"/>
        <c:axId val="166965632"/>
        <c:axId val="0"/>
      </c:bar3DChart>
      <c:catAx>
        <c:axId val="166939264"/>
        <c:scaling>
          <c:orientation val="minMax"/>
        </c:scaling>
        <c:delete val="0"/>
        <c:axPos val="b"/>
        <c:numFmt formatCode="General" sourceLinked="1"/>
        <c:majorTickMark val="out"/>
        <c:minorTickMark val="none"/>
        <c:tickLblPos val="low"/>
        <c:spPr>
          <a:ln w="3175">
            <a:solidFill>
              <a:srgbClr val="000000"/>
            </a:solidFill>
            <a:prstDash val="solid"/>
          </a:ln>
        </c:spPr>
        <c:txPr>
          <a:bodyPr rot="-102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166965632"/>
        <c:crosses val="autoZero"/>
        <c:auto val="1"/>
        <c:lblAlgn val="ctr"/>
        <c:lblOffset val="100"/>
        <c:tickLblSkip val="1"/>
        <c:tickMarkSkip val="1"/>
        <c:noMultiLvlLbl val="0"/>
      </c:catAx>
      <c:valAx>
        <c:axId val="166965632"/>
        <c:scaling>
          <c:orientation val="minMax"/>
        </c:scaling>
        <c:delete val="0"/>
        <c:axPos val="l"/>
        <c:majorGridlines>
          <c:spPr>
            <a:ln w="3175">
              <a:solidFill>
                <a:srgbClr val="000000"/>
              </a:solidFill>
              <a:prstDash val="solid"/>
            </a:ln>
          </c:spPr>
        </c:majorGridlines>
        <c:title>
          <c:tx>
            <c:rich>
              <a:bodyPr/>
              <a:lstStyle/>
              <a:p>
                <a:pPr>
                  <a:defRPr sz="1200" b="1" i="0" u="none" strike="noStrike" baseline="0">
                    <a:solidFill>
                      <a:srgbClr val="000000"/>
                    </a:solidFill>
                    <a:latin typeface="Times New Roman" pitchFamily="18" charset="0"/>
                    <a:ea typeface="Arial Cyr"/>
                    <a:cs typeface="Times New Roman" pitchFamily="18" charset="0"/>
                  </a:defRPr>
                </a:pPr>
                <a:r>
                  <a:rPr lang="ru-RU">
                    <a:latin typeface="Times New Roman" pitchFamily="18" charset="0"/>
                    <a:cs typeface="Times New Roman" pitchFamily="18" charset="0"/>
                  </a:rPr>
                  <a:t>Рублей</a:t>
                </a:r>
              </a:p>
            </c:rich>
          </c:tx>
          <c:layout>
            <c:manualLayout>
              <c:xMode val="edge"/>
              <c:yMode val="edge"/>
              <c:x val="4.2135742647553667E-2"/>
              <c:y val="0.38694028685507798"/>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100" b="1" i="0" u="none" strike="noStrike" baseline="0">
                <a:solidFill>
                  <a:srgbClr val="000000"/>
                </a:solidFill>
                <a:latin typeface="Times New Roman" pitchFamily="18" charset="0"/>
                <a:ea typeface="Arial Cyr"/>
                <a:cs typeface="Times New Roman" pitchFamily="18" charset="0"/>
              </a:defRPr>
            </a:pPr>
            <a:endParaRPr lang="ru-RU"/>
          </a:p>
        </c:txPr>
        <c:crossAx val="166939264"/>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25" b="0" i="0" u="none" strike="noStrike" baseline="0">
                <a:solidFill>
                  <a:srgbClr val="000000"/>
                </a:solidFill>
                <a:latin typeface="Times New Roman" pitchFamily="18" charset="0"/>
                <a:ea typeface="Arial Cyr"/>
                <a:cs typeface="Times New Roman" pitchFamily="18" charset="0"/>
              </a:defRPr>
            </a:pPr>
            <a:r>
              <a:rPr lang="ru-RU" sz="1200" b="1" i="0" u="none" strike="noStrike" baseline="0">
                <a:solidFill>
                  <a:srgbClr val="000000"/>
                </a:solidFill>
                <a:latin typeface="Times New Roman" pitchFamily="18" charset="0"/>
                <a:cs typeface="Times New Roman" pitchFamily="18" charset="0"/>
              </a:rPr>
              <a:t>Соотношение капитальных и текущих расходов консолидированного бюджета Чеченской Республики в 2012 году</a:t>
            </a:r>
          </a:p>
        </c:rich>
      </c:tx>
      <c:layout>
        <c:manualLayout>
          <c:xMode val="edge"/>
          <c:yMode val="edge"/>
          <c:x val="0.16989567809239942"/>
          <c:y val="1.2755102040816327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7719821162444125"/>
          <c:y val="0.40306122448979587"/>
          <c:w val="0.44709388971684061"/>
          <c:h val="0.3061224489795919"/>
        </c:manualLayout>
      </c:layout>
      <c:pie3DChart>
        <c:varyColors val="1"/>
        <c:ser>
          <c:idx val="0"/>
          <c:order val="0"/>
          <c:spPr>
            <a:solidFill>
              <a:srgbClr val="9999FF"/>
            </a:solidFill>
            <a:ln w="12700">
              <a:solidFill>
                <a:srgbClr val="000000"/>
              </a:solidFill>
              <a:prstDash val="solid"/>
            </a:ln>
          </c:spPr>
          <c:explosion val="25"/>
          <c:dPt>
            <c:idx val="0"/>
            <c:bubble3D val="0"/>
          </c:dPt>
          <c:dPt>
            <c:idx val="1"/>
            <c:bubble3D val="0"/>
            <c:spPr>
              <a:solidFill>
                <a:srgbClr val="993366"/>
              </a:solidFill>
              <a:ln w="12700">
                <a:solidFill>
                  <a:srgbClr val="000000"/>
                </a:solidFill>
                <a:prstDash val="solid"/>
              </a:ln>
            </c:spPr>
          </c:dPt>
          <c:dLbls>
            <c:dLbl>
              <c:idx val="0"/>
              <c:layout>
                <c:manualLayout>
                  <c:x val="3.0479677372668247E-2"/>
                  <c:y val="0.14861428035781243"/>
                </c:manualLayout>
              </c:layout>
              <c:dLblPos val="bestFit"/>
              <c:showLegendKey val="0"/>
              <c:showVal val="0"/>
              <c:showCatName val="1"/>
              <c:showSerName val="0"/>
              <c:showPercent val="1"/>
              <c:showBubbleSize val="0"/>
            </c:dLbl>
            <c:dLbl>
              <c:idx val="1"/>
              <c:layout>
                <c:manualLayout>
                  <c:x val="-7.3758209433954891E-2"/>
                  <c:y val="-0.14232819111896733"/>
                </c:manualLayout>
              </c:layout>
              <c:dLblPos val="bestFit"/>
              <c:showLegendKey val="0"/>
              <c:showVal val="0"/>
              <c:showCatName val="1"/>
              <c:showSerName val="0"/>
              <c:showPercent val="1"/>
              <c:showBubbleSize val="0"/>
            </c:dLbl>
            <c:numFmt formatCode="0%" sourceLinked="0"/>
            <c:spPr>
              <a:noFill/>
              <a:ln w="25400">
                <a:noFill/>
              </a:ln>
            </c:spPr>
            <c:txPr>
              <a:bodyPr/>
              <a:lstStyle/>
              <a:p>
                <a:pPr>
                  <a:defRPr sz="102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0"/>
            <c:showCatName val="1"/>
            <c:showSerName val="0"/>
            <c:showPercent val="1"/>
            <c:showBubbleSize val="0"/>
            <c:showLeaderLines val="1"/>
          </c:dLbls>
          <c:cat>
            <c:strRef>
              <c:f>'2008'!$A$26:$A$27</c:f>
              <c:strCache>
                <c:ptCount val="2"/>
                <c:pt idx="0">
                  <c:v>Текущие расходы</c:v>
                </c:pt>
                <c:pt idx="1">
                  <c:v>Капитальные расходы</c:v>
                </c:pt>
              </c:strCache>
            </c:strRef>
          </c:cat>
          <c:val>
            <c:numRef>
              <c:f>'2008'!$D$30:$D$31</c:f>
              <c:numCache>
                <c:formatCode>#,##0.0</c:formatCode>
                <c:ptCount val="2"/>
                <c:pt idx="0">
                  <c:v>51446617.449820004</c:v>
                </c:pt>
                <c:pt idx="1">
                  <c:v>26085264.070689999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0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25" b="1" i="0" u="none" strike="noStrike" baseline="0">
                <a:solidFill>
                  <a:srgbClr val="000000"/>
                </a:solidFill>
                <a:latin typeface="Times New Roman"/>
                <a:ea typeface="Times New Roman"/>
                <a:cs typeface="Times New Roman"/>
              </a:defRPr>
            </a:pPr>
            <a:r>
              <a:rPr lang="ru-RU"/>
              <a:t>Динамика роста доходов консолидированного бюджета</a:t>
            </a:r>
          </a:p>
        </c:rich>
      </c:tx>
      <c:layout>
        <c:manualLayout>
          <c:xMode val="edge"/>
          <c:yMode val="edge"/>
          <c:x val="0.16618911509496639"/>
          <c:y val="3.0434782608695653E-2"/>
        </c:manualLayout>
      </c:layout>
      <c:overlay val="0"/>
      <c:spPr>
        <a:noFill/>
        <a:ln w="25400">
          <a:noFill/>
        </a:ln>
      </c:spPr>
    </c:title>
    <c:autoTitleDeleted val="0"/>
    <c:plotArea>
      <c:layout>
        <c:manualLayout>
          <c:layoutTarget val="inner"/>
          <c:xMode val="edge"/>
          <c:yMode val="edge"/>
          <c:x val="0.163323782234957"/>
          <c:y val="0.16304365132860407"/>
          <c:w val="0.49713467048710602"/>
          <c:h val="0.73913121935633863"/>
        </c:manualLayout>
      </c:layout>
      <c:lineChart>
        <c:grouping val="standard"/>
        <c:varyColors val="0"/>
        <c:ser>
          <c:idx val="0"/>
          <c:order val="0"/>
          <c:tx>
            <c:strRef>
              <c:f>Лист1!$A$35</c:f>
              <c:strCache>
                <c:ptCount val="1"/>
                <c:pt idx="0">
                  <c:v>Всего доходов</c:v>
                </c:pt>
              </c:strCache>
            </c:strRef>
          </c:tx>
          <c:spPr>
            <a:ln w="38100">
              <a:solidFill>
                <a:srgbClr val="000080"/>
              </a:solidFill>
              <a:prstDash val="solid"/>
            </a:ln>
          </c:spPr>
          <c:marker>
            <c:symbol val="diamond"/>
            <c:size val="9"/>
            <c:spPr>
              <a:solidFill>
                <a:srgbClr val="000080"/>
              </a:solidFill>
              <a:ln>
                <a:solidFill>
                  <a:srgbClr val="000080"/>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(Лист1!$D$45;Лист1!$D$40;Лист1!$D$35;Лист1!$D$30;Лист1!$D$25;Лист1!$D$20;Лист1!$D$15;Лист1!$D$10;Лист1!$D$5)</c:f>
              <c:numCache>
                <c:formatCode>#,##0.0</c:formatCode>
                <c:ptCount val="9"/>
                <c:pt idx="0">
                  <c:v>25038037</c:v>
                </c:pt>
                <c:pt idx="1">
                  <c:v>16753272.39174</c:v>
                </c:pt>
                <c:pt idx="2">
                  <c:v>31625051.899999999</c:v>
                </c:pt>
                <c:pt idx="3">
                  <c:v>63580969.658670001</c:v>
                </c:pt>
                <c:pt idx="4">
                  <c:v>64744181.777619995</c:v>
                </c:pt>
                <c:pt idx="5">
                  <c:v>65447464.819410004</c:v>
                </c:pt>
                <c:pt idx="6">
                  <c:v>64832769.299610004</c:v>
                </c:pt>
                <c:pt idx="7">
                  <c:v>78917147.609849989</c:v>
                </c:pt>
                <c:pt idx="8">
                  <c:v>78303356.204009995</c:v>
                </c:pt>
              </c:numCache>
            </c:numRef>
          </c:val>
          <c:smooth val="1"/>
        </c:ser>
        <c:ser>
          <c:idx val="1"/>
          <c:order val="1"/>
          <c:tx>
            <c:strRef>
              <c:f>Лист1!$A$36</c:f>
              <c:strCache>
                <c:ptCount val="1"/>
                <c:pt idx="0">
                  <c:v>Налоговые доходы</c:v>
                </c:pt>
              </c:strCache>
            </c:strRef>
          </c:tx>
          <c:spPr>
            <a:ln w="38100">
              <a:solidFill>
                <a:srgbClr val="FF00FF"/>
              </a:solidFill>
              <a:prstDash val="solid"/>
            </a:ln>
          </c:spPr>
          <c:marker>
            <c:symbol val="square"/>
            <c:size val="9"/>
            <c:spPr>
              <a:solidFill>
                <a:srgbClr val="FF00FF"/>
              </a:solidFill>
              <a:ln>
                <a:solidFill>
                  <a:srgbClr val="FF00FF"/>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(Лист1!$D$46;Лист1!$D$41;Лист1!$D$36;Лист1!$D$31;Лист1!$D$26;Лист1!$D$21;Лист1!$D$16;Лист1!$D$11;Лист1!$D$6)</c:f>
              <c:numCache>
                <c:formatCode>#,##0.0</c:formatCode>
                <c:ptCount val="9"/>
                <c:pt idx="0">
                  <c:v>1707175</c:v>
                </c:pt>
                <c:pt idx="1">
                  <c:v>2167593.10207</c:v>
                </c:pt>
                <c:pt idx="2">
                  <c:v>3436209.2</c:v>
                </c:pt>
                <c:pt idx="3">
                  <c:v>4514721.2</c:v>
                </c:pt>
                <c:pt idx="4">
                  <c:v>5612914.1218699999</c:v>
                </c:pt>
                <c:pt idx="5">
                  <c:v>6121123.8360000001</c:v>
                </c:pt>
                <c:pt idx="6">
                  <c:v>8665671.2729400005</c:v>
                </c:pt>
                <c:pt idx="7">
                  <c:v>9903529.0346700009</c:v>
                </c:pt>
                <c:pt idx="8">
                  <c:v>11261277.754450001</c:v>
                </c:pt>
              </c:numCache>
            </c:numRef>
          </c:val>
          <c:smooth val="1"/>
        </c:ser>
        <c:ser>
          <c:idx val="2"/>
          <c:order val="2"/>
          <c:tx>
            <c:strRef>
              <c:f>Лист1!$A$37</c:f>
              <c:strCache>
                <c:ptCount val="1"/>
                <c:pt idx="0">
                  <c:v>Неналоговые доходы</c:v>
                </c:pt>
              </c:strCache>
            </c:strRef>
          </c:tx>
          <c:spPr>
            <a:ln w="38100">
              <a:solidFill>
                <a:srgbClr val="FFFF00"/>
              </a:solidFill>
              <a:prstDash val="solid"/>
            </a:ln>
          </c:spPr>
          <c:marker>
            <c:symbol val="triangle"/>
            <c:size val="9"/>
            <c:spPr>
              <a:solidFill>
                <a:srgbClr val="FFFF00"/>
              </a:solidFill>
              <a:ln>
                <a:solidFill>
                  <a:srgbClr val="FFFF00"/>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(Лист1!$D$47;Лист1!$D$42;Лист1!$D$37;Лист1!$D$32;Лист1!$D$27;Лист1!$D$22;Лист1!$D$17;Лист1!$D$12;Лист1!$D$7)</c:f>
              <c:numCache>
                <c:formatCode>#,##0.0</c:formatCode>
                <c:ptCount val="9"/>
                <c:pt idx="0">
                  <c:v>73800</c:v>
                </c:pt>
                <c:pt idx="1">
                  <c:v>34790.400520000003</c:v>
                </c:pt>
                <c:pt idx="2">
                  <c:v>99829.8</c:v>
                </c:pt>
                <c:pt idx="3">
                  <c:v>186016.49696000014</c:v>
                </c:pt>
                <c:pt idx="4">
                  <c:v>478555.22420999967</c:v>
                </c:pt>
                <c:pt idx="5">
                  <c:v>174336.31599999999</c:v>
                </c:pt>
                <c:pt idx="6">
                  <c:v>23841.98444</c:v>
                </c:pt>
                <c:pt idx="7">
                  <c:v>450840.02516999998</c:v>
                </c:pt>
                <c:pt idx="8">
                  <c:v>389328.47262000002</c:v>
                </c:pt>
              </c:numCache>
            </c:numRef>
          </c:val>
          <c:smooth val="1"/>
        </c:ser>
        <c:ser>
          <c:idx val="3"/>
          <c:order val="3"/>
          <c:tx>
            <c:strRef>
              <c:f>Лист1!$A$38</c:f>
              <c:strCache>
                <c:ptCount val="1"/>
                <c:pt idx="0">
                  <c:v>Безвозмездные и безвозвратные поступления</c:v>
                </c:pt>
              </c:strCache>
            </c:strRef>
          </c:tx>
          <c:spPr>
            <a:ln w="38100">
              <a:solidFill>
                <a:srgbClr val="00FFFF"/>
              </a:solidFill>
              <a:prstDash val="solid"/>
            </a:ln>
          </c:spPr>
          <c:marker>
            <c:symbol val="x"/>
            <c:size val="9"/>
            <c:spPr>
              <a:noFill/>
              <a:ln>
                <a:solidFill>
                  <a:srgbClr val="00FFFF"/>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(Лист1!$D$48;Лист1!$D$43;Лист1!$D$38;Лист1!$D$33;Лист1!$D$28;Лист1!$D$23;Лист1!$D$18;Лист1!$D$13;Лист1!$D$8)</c:f>
              <c:numCache>
                <c:formatCode>#,##0.0</c:formatCode>
                <c:ptCount val="9"/>
                <c:pt idx="0">
                  <c:v>23257062</c:v>
                </c:pt>
                <c:pt idx="1">
                  <c:v>14550888.889149999</c:v>
                </c:pt>
                <c:pt idx="2">
                  <c:v>28089012.899999999</c:v>
                </c:pt>
                <c:pt idx="3">
                  <c:v>58880231.961709999</c:v>
                </c:pt>
                <c:pt idx="4">
                  <c:v>58652712.431539997</c:v>
                </c:pt>
                <c:pt idx="5">
                  <c:v>59152004.667410001</c:v>
                </c:pt>
                <c:pt idx="6">
                  <c:v>56143256.042230003</c:v>
                </c:pt>
                <c:pt idx="7">
                  <c:v>68562778.550009996</c:v>
                </c:pt>
                <c:pt idx="8">
                  <c:v>66652749.976939999</c:v>
                </c:pt>
              </c:numCache>
            </c:numRef>
          </c:val>
          <c:smooth val="1"/>
        </c:ser>
        <c:ser>
          <c:idx val="4"/>
          <c:order val="4"/>
          <c:tx>
            <c:strRef>
              <c:f>Лист1!$A$5</c:f>
              <c:strCache>
                <c:ptCount val="1"/>
                <c:pt idx="0">
                  <c:v>Всего доходов</c:v>
                </c:pt>
              </c:strCache>
            </c:strRef>
          </c:tx>
          <c:val>
            <c:numRef>
              <c:f>Лист1!$D$5</c:f>
              <c:numCache>
                <c:formatCode>#,##0.0</c:formatCode>
                <c:ptCount val="1"/>
                <c:pt idx="0">
                  <c:v>78303356.204009995</c:v>
                </c:pt>
              </c:numCache>
            </c:numRef>
          </c:val>
          <c:smooth val="0"/>
        </c:ser>
        <c:dLbls>
          <c:showLegendKey val="0"/>
          <c:showVal val="0"/>
          <c:showCatName val="0"/>
          <c:showSerName val="0"/>
          <c:showPercent val="0"/>
          <c:showBubbleSize val="0"/>
        </c:dLbls>
        <c:marker val="1"/>
        <c:smooth val="0"/>
        <c:axId val="168659200"/>
        <c:axId val="168677376"/>
      </c:lineChart>
      <c:catAx>
        <c:axId val="1686592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68677376"/>
        <c:crosses val="autoZero"/>
        <c:auto val="1"/>
        <c:lblAlgn val="ctr"/>
        <c:lblOffset val="100"/>
        <c:tickLblSkip val="1"/>
        <c:tickMarkSkip val="1"/>
        <c:noMultiLvlLbl val="0"/>
      </c:catAx>
      <c:valAx>
        <c:axId val="16867737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a:ea typeface="Times New Roman"/>
                    <a:cs typeface="Times New Roman"/>
                  </a:defRPr>
                </a:pPr>
                <a:r>
                  <a:rPr lang="ru-RU"/>
                  <a:t>Тыс. руб.</a:t>
                </a:r>
              </a:p>
            </c:rich>
          </c:tx>
          <c:layout>
            <c:manualLayout>
              <c:xMode val="edge"/>
              <c:yMode val="edge"/>
              <c:x val="7.9858654663994538E-3"/>
              <c:y val="0.42904096770512379"/>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68659200"/>
        <c:crosses val="autoZero"/>
        <c:crossBetween val="between"/>
      </c:valAx>
      <c:spPr>
        <a:solidFill>
          <a:srgbClr val="FFFFFF"/>
        </a:solidFill>
        <a:ln w="12700">
          <a:solidFill>
            <a:srgbClr val="808080"/>
          </a:solidFill>
          <a:prstDash val="solid"/>
        </a:ln>
      </c:spPr>
    </c:plotArea>
    <c:legend>
      <c:legendPos val="r"/>
      <c:layout>
        <c:manualLayout>
          <c:xMode val="edge"/>
          <c:yMode val="edge"/>
          <c:x val="0.67579293200311019"/>
          <c:y val="0.37173958689946363"/>
          <c:w val="0.29921230638937868"/>
          <c:h val="0.3793632317699418"/>
        </c:manualLayout>
      </c:layout>
      <c:overlay val="0"/>
      <c:spPr>
        <a:solidFill>
          <a:srgbClr val="FFFFFF"/>
        </a:solidFill>
        <a:ln w="25400">
          <a:noFill/>
        </a:ln>
      </c:spPr>
      <c:txPr>
        <a:bodyPr/>
        <a:lstStyle/>
        <a:p>
          <a:pPr>
            <a:defRPr sz="84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9525">
      <a:noFill/>
    </a:ln>
  </c:spPr>
  <c:txPr>
    <a:bodyPr/>
    <a:lstStyle/>
    <a:p>
      <a:pPr>
        <a:defRPr sz="14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a:latin typeface="Times New Roman" pitchFamily="18" charset="0"/>
                <a:cs typeface="Times New Roman" pitchFamily="18" charset="0"/>
              </a:rPr>
              <a:t>Удельный вес наиболее значимых</a:t>
            </a:r>
            <a:r>
              <a:rPr lang="ru-RU" sz="1400" baseline="0">
                <a:latin typeface="Times New Roman" pitchFamily="18" charset="0"/>
                <a:cs typeface="Times New Roman" pitchFamily="18" charset="0"/>
              </a:rPr>
              <a:t> доходов в струкуре консолидированного бюджета ЧР в 2012 году</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6834359494480614"/>
          <c:y val="0.40296740299122463"/>
          <c:w val="0.59589086639423949"/>
          <c:h val="0.57902666091513699"/>
        </c:manualLayout>
      </c:layout>
      <c:pie3DChart>
        <c:varyColors val="1"/>
        <c:ser>
          <c:idx val="0"/>
          <c:order val="0"/>
          <c:explosion val="25"/>
          <c:dLbls>
            <c:dLbl>
              <c:idx val="0"/>
              <c:layout>
                <c:manualLayout>
                  <c:x val="0.2041762145001336"/>
                  <c:y val="4.3886844947364091E-2"/>
                </c:manualLayout>
              </c:layout>
              <c:showLegendKey val="0"/>
              <c:showVal val="0"/>
              <c:showCatName val="1"/>
              <c:showSerName val="0"/>
              <c:showPercent val="1"/>
              <c:showBubbleSize val="0"/>
            </c:dLbl>
            <c:dLbl>
              <c:idx val="1"/>
              <c:layout>
                <c:manualLayout>
                  <c:x val="-2.5830857969101166E-2"/>
                  <c:y val="4.9513860601734724E-2"/>
                </c:manualLayout>
              </c:layout>
              <c:showLegendKey val="0"/>
              <c:showVal val="0"/>
              <c:showCatName val="1"/>
              <c:showSerName val="0"/>
              <c:showPercent val="1"/>
              <c:showBubbleSize val="0"/>
            </c:dLbl>
            <c:dLbl>
              <c:idx val="2"/>
              <c:layout>
                <c:manualLayout>
                  <c:x val="-2.8353922077105631E-2"/>
                  <c:y val="-3.9250839894915041E-2"/>
                </c:manualLayout>
              </c:layout>
              <c:tx>
                <c:rich>
                  <a:bodyPr/>
                  <a:lstStyle/>
                  <a:p>
                    <a:r>
                      <a:rPr lang="ru-RU"/>
                      <a:t>налоги на товары (работы, услуги), реализуемые на территории Российской Федерации
23%</a:t>
                    </a:r>
                  </a:p>
                </c:rich>
              </c:tx>
              <c:showLegendKey val="0"/>
              <c:showVal val="0"/>
              <c:showCatName val="1"/>
              <c:showSerName val="0"/>
              <c:showPercent val="1"/>
              <c:showBubbleSize val="0"/>
            </c:dLbl>
            <c:dLbl>
              <c:idx val="3"/>
              <c:layout>
                <c:manualLayout>
                  <c:x val="-0.17110051784067531"/>
                  <c:y val="-9.7022514573822952E-2"/>
                </c:manualLayout>
              </c:layout>
              <c:tx>
                <c:rich>
                  <a:bodyPr/>
                  <a:lstStyle/>
                  <a:p>
                    <a:r>
                      <a:rPr lang="ru-RU"/>
                      <a:t>налоги на совокупный доход
1%</a:t>
                    </a:r>
                  </a:p>
                </c:rich>
              </c:tx>
              <c:showLegendKey val="0"/>
              <c:showVal val="0"/>
              <c:showCatName val="1"/>
              <c:showSerName val="0"/>
              <c:showPercent val="1"/>
              <c:showBubbleSize val="0"/>
            </c:dLbl>
            <c:dLbl>
              <c:idx val="4"/>
              <c:layout>
                <c:manualLayout>
                  <c:x val="-6.4154963574920967E-2"/>
                  <c:y val="-0.18051167709910584"/>
                </c:manualLayout>
              </c:layout>
              <c:tx>
                <c:rich>
                  <a:bodyPr/>
                  <a:lstStyle/>
                  <a:p>
                    <a:r>
                      <a:rPr lang="ru-RU"/>
                      <a:t>налоги на имущество
6%</a:t>
                    </a:r>
                  </a:p>
                </c:rich>
              </c:tx>
              <c:showLegendKey val="0"/>
              <c:showVal val="0"/>
              <c:showCatName val="1"/>
              <c:showSerName val="0"/>
              <c:showPercent val="1"/>
              <c:showBubbleSize val="0"/>
            </c:dLbl>
            <c:dLbl>
              <c:idx val="5"/>
              <c:layout>
                <c:manualLayout>
                  <c:x val="7.5983780470554957E-2"/>
                  <c:y val="-3.4853536901189489E-2"/>
                </c:manualLayout>
              </c:layout>
              <c:tx>
                <c:rich>
                  <a:bodyPr/>
                  <a:lstStyle/>
                  <a:p>
                    <a:r>
                      <a:rPr lang="ru-RU"/>
                      <a:t>доходы от использования имущества, находящегося в государственной и муниципальной собственности
1%</a:t>
                    </a:r>
                  </a:p>
                </c:rich>
              </c:tx>
              <c:showLegendKey val="0"/>
              <c:showVal val="0"/>
              <c:showCatName val="1"/>
              <c:showSerName val="0"/>
              <c:showPercent val="1"/>
              <c:showBubbleSize val="0"/>
            </c:dLbl>
            <c:dLbl>
              <c:idx val="6"/>
              <c:layout>
                <c:manualLayout>
                  <c:x val="0.28505293078591515"/>
                  <c:y val="-0.10138693675126575"/>
                </c:manualLayout>
              </c:layout>
              <c:tx>
                <c:rich>
                  <a:bodyPr/>
                  <a:lstStyle/>
                  <a:p>
                    <a:r>
                      <a:rPr lang="ru-RU"/>
                      <a:t>доходы от оказания платных услуг и компенсации затрат государства
1%</a:t>
                    </a:r>
                  </a:p>
                </c:rich>
              </c:tx>
              <c:showLegendKey val="0"/>
              <c:showVal val="0"/>
              <c:showCatName val="1"/>
              <c:showSerName val="0"/>
              <c:showPercent val="1"/>
              <c:showBubbleSize val="0"/>
            </c:dLbl>
            <c:txPr>
              <a:bodyPr/>
              <a:lstStyle/>
              <a:p>
                <a:pPr>
                  <a:defRPr sz="800"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Лист1!$I$9:$I$15</c:f>
              <c:strCache>
                <c:ptCount val="7"/>
                <c:pt idx="0">
                  <c:v>Налог на прибыль организаций</c:v>
                </c:pt>
                <c:pt idx="1">
                  <c:v>Налог на доходы физических лиц</c:v>
                </c:pt>
                <c:pt idx="2">
                  <c:v>НАЛОГИ НА ТОВАРЫ (РАБОТЫ, УСЛУГИ), РЕАЛИЗУЕМЫЕ НА ТЕРРИТОРИИ РОССИЙСКОЙ ФЕДЕРАЦИИ</c:v>
                </c:pt>
                <c:pt idx="3">
                  <c:v>НАЛОГИ НА СОВОКУПНЫЙ ДОХОД</c:v>
                </c:pt>
                <c:pt idx="4">
                  <c:v>НАЛОГИ НА ИМУЩЕСТВО</c:v>
                </c:pt>
                <c:pt idx="5">
                  <c:v>ДОХОДЫ ОТ ИСПОЛЬЗОВАНИЯ ИМУЩЕСТВА, НАХОДЯЩЕГОСЯ В ГОСУДАРСТВЕННОЙ И МУНИЦИПАЛЬНОЙ СОБСТВЕННОСТИ</c:v>
                </c:pt>
                <c:pt idx="6">
                  <c:v>ДОХОДЫ ОТ ОКАЗАНИЯ ПЛАТНЫХ УСЛУГ И КОМПЕНСАЦИИ ЗАТРАТ ГОСУДАРСТВА</c:v>
                </c:pt>
              </c:strCache>
            </c:strRef>
          </c:cat>
          <c:val>
            <c:numRef>
              <c:f>Лист1!$J$9:$J$15</c:f>
              <c:numCache>
                <c:formatCode>#,##0.00</c:formatCode>
                <c:ptCount val="7"/>
                <c:pt idx="0">
                  <c:v>5.7127341532113833</c:v>
                </c:pt>
                <c:pt idx="1">
                  <c:v>61.18241829637946</c:v>
                </c:pt>
                <c:pt idx="2">
                  <c:v>22.652364380559057</c:v>
                </c:pt>
                <c:pt idx="3">
                  <c:v>1.1083708651139885</c:v>
                </c:pt>
                <c:pt idx="4">
                  <c:v>5.81064289029921</c:v>
                </c:pt>
                <c:pt idx="5">
                  <c:v>1.4200185807979757</c:v>
                </c:pt>
                <c:pt idx="6">
                  <c:v>1.3268425580363681</c:v>
                </c:pt>
              </c:numCache>
            </c:numRef>
          </c:val>
        </c:ser>
        <c:dLbls>
          <c:showLegendKey val="0"/>
          <c:showVal val="1"/>
          <c:showCatName val="0"/>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b="1" i="0" u="none" strike="noStrike" baseline="0">
                <a:solidFill>
                  <a:srgbClr val="000000"/>
                </a:solidFill>
                <a:latin typeface="Times New Roman"/>
                <a:ea typeface="Times New Roman"/>
                <a:cs typeface="Times New Roman"/>
              </a:defRPr>
            </a:pPr>
            <a:r>
              <a:rPr lang="ru-RU" sz="1300"/>
              <a:t>Динамика увеличения расходов консолидированного </a:t>
            </a:r>
          </a:p>
          <a:p>
            <a:pPr>
              <a:defRPr sz="1300" b="1" i="0" u="none" strike="noStrike" baseline="0">
                <a:solidFill>
                  <a:srgbClr val="000000"/>
                </a:solidFill>
                <a:latin typeface="Times New Roman"/>
                <a:ea typeface="Times New Roman"/>
                <a:cs typeface="Times New Roman"/>
              </a:defRPr>
            </a:pPr>
            <a:r>
              <a:rPr lang="ru-RU" sz="1300"/>
              <a:t>бюджета ЧР</a:t>
            </a:r>
          </a:p>
        </c:rich>
      </c:tx>
      <c:layout>
        <c:manualLayout>
          <c:xMode val="edge"/>
          <c:yMode val="edge"/>
          <c:x val="0.1756115011520821"/>
          <c:y val="2.3238030676628996E-2"/>
        </c:manualLayout>
      </c:layout>
      <c:overlay val="0"/>
      <c:spPr>
        <a:noFill/>
        <a:ln w="25400">
          <a:noFill/>
        </a:ln>
      </c:spPr>
    </c:title>
    <c:autoTitleDeleted val="0"/>
    <c:plotArea>
      <c:layout>
        <c:manualLayout>
          <c:layoutTarget val="inner"/>
          <c:xMode val="edge"/>
          <c:yMode val="edge"/>
          <c:x val="0.19063201107197528"/>
          <c:y val="0.20708474418419007"/>
          <c:w val="0.79411849183697136"/>
          <c:h val="0.62397903181815173"/>
        </c:manualLayout>
      </c:layout>
      <c:lineChart>
        <c:grouping val="standard"/>
        <c:varyColors val="0"/>
        <c:ser>
          <c:idx val="0"/>
          <c:order val="0"/>
          <c:tx>
            <c:strRef>
              <c:f>Лист1!$A$2</c:f>
              <c:strCache>
                <c:ptCount val="1"/>
                <c:pt idx="0">
                  <c:v>Динамика увеличения расходов консолидированного бюджета ЧР</c:v>
                </c:pt>
              </c:strCache>
            </c:strRef>
          </c:tx>
          <c:spPr>
            <a:ln w="38100">
              <a:solidFill>
                <a:srgbClr val="000080"/>
              </a:solidFill>
              <a:prstDash val="solid"/>
            </a:ln>
          </c:spPr>
          <c:marker>
            <c:symbol val="diamond"/>
            <c:size val="9"/>
            <c:spPr>
              <a:solidFill>
                <a:srgbClr val="000080"/>
              </a:solidFill>
              <a:ln>
                <a:solidFill>
                  <a:srgbClr val="000080"/>
                </a:solidFill>
                <a:prstDash val="solid"/>
              </a:ln>
            </c:spPr>
          </c:marker>
          <c:dLbls>
            <c:dLbl>
              <c:idx val="0"/>
              <c:layout>
                <c:manualLayout>
                  <c:x val="-6.2864663042663405E-3"/>
                  <c:y val="5.6931976378595428E-2"/>
                </c:manualLayout>
              </c:layout>
              <c:dLblPos val="r"/>
              <c:showLegendKey val="0"/>
              <c:showVal val="1"/>
              <c:showCatName val="0"/>
              <c:showSerName val="0"/>
              <c:showPercent val="0"/>
              <c:showBubbleSize val="0"/>
            </c:dLbl>
            <c:dLbl>
              <c:idx val="1"/>
              <c:layout>
                <c:manualLayout>
                  <c:x val="-0.10765387843315799"/>
                  <c:y val="-7.1848534698105163E-2"/>
                </c:manualLayout>
              </c:layout>
              <c:dLblPos val="r"/>
              <c:showLegendKey val="0"/>
              <c:showVal val="1"/>
              <c:showCatName val="0"/>
              <c:showSerName val="0"/>
              <c:showPercent val="0"/>
              <c:showBubbleSize val="0"/>
            </c:dLbl>
            <c:dLbl>
              <c:idx val="2"/>
              <c:layout>
                <c:manualLayout>
                  <c:x val="-4.3986865273747552E-2"/>
                  <c:y val="-7.2440276862910088E-2"/>
                </c:manualLayout>
              </c:layout>
              <c:dLblPos val="r"/>
              <c:showLegendKey val="0"/>
              <c:showVal val="1"/>
              <c:showCatName val="0"/>
              <c:showSerName val="0"/>
              <c:showPercent val="0"/>
              <c:showBubbleSize val="0"/>
            </c:dLbl>
            <c:dLbl>
              <c:idx val="3"/>
              <c:layout>
                <c:manualLayout>
                  <c:x val="-5.7181474206585134E-2"/>
                  <c:y val="6.4455276765894326E-2"/>
                </c:manualLayout>
              </c:layout>
              <c:dLblPos val="r"/>
              <c:showLegendKey val="0"/>
              <c:showVal val="1"/>
              <c:showCatName val="0"/>
              <c:showSerName val="0"/>
              <c:showPercent val="0"/>
              <c:showBubbleSize val="0"/>
            </c:dLbl>
            <c:dLbl>
              <c:idx val="4"/>
              <c:layout>
                <c:manualLayout>
                  <c:x val="-1.7439944305176914E-2"/>
                  <c:y val="5.9598983318561331E-2"/>
                </c:manualLayout>
              </c:layout>
              <c:dLblPos val="r"/>
              <c:showLegendKey val="0"/>
              <c:showVal val="1"/>
              <c:showCatName val="0"/>
              <c:showSerName val="0"/>
              <c:showPercent val="0"/>
              <c:showBubbleSize val="0"/>
            </c:dLbl>
            <c:dLbl>
              <c:idx val="5"/>
              <c:layout>
                <c:manualLayout>
                  <c:x val="-0.14495795918516607"/>
                  <c:y val="-2.1000093115328473E-2"/>
                </c:manualLayout>
              </c:layout>
              <c:dLblPos val="r"/>
              <c:showLegendKey val="0"/>
              <c:showVal val="1"/>
              <c:showCatName val="0"/>
              <c:showSerName val="0"/>
              <c:showPercent val="0"/>
              <c:showBubbleSize val="0"/>
            </c:dLbl>
            <c:dLbl>
              <c:idx val="6"/>
              <c:layout>
                <c:manualLayout>
                  <c:x val="-1.3163734114170322E-2"/>
                  <c:y val="7.9372062939982863E-2"/>
                </c:manualLayout>
              </c:layout>
              <c:dLblPos val="r"/>
              <c:showLegendKey val="0"/>
              <c:showVal val="1"/>
              <c:showCatName val="0"/>
              <c:showSerName val="0"/>
              <c:showPercent val="0"/>
              <c:showBubbleSize val="0"/>
            </c:dLbl>
            <c:spPr>
              <a:noFill/>
              <a:ln w="25400">
                <a:noFill/>
              </a:ln>
            </c:spPr>
            <c:txPr>
              <a:bodyPr/>
              <a:lstStyle/>
              <a:p>
                <a:pPr>
                  <a:defRPr sz="11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(Лист1!$B$5:$I$5;Лист1!$J$5)</c:f>
              <c:strCache>
                <c:ptCount val="7"/>
                <c:pt idx="0">
                  <c:v>2006г.</c:v>
                </c:pt>
                <c:pt idx="1">
                  <c:v>2007г.</c:v>
                </c:pt>
                <c:pt idx="2">
                  <c:v>2008г.</c:v>
                </c:pt>
                <c:pt idx="3">
                  <c:v>2007г.</c:v>
                </c:pt>
                <c:pt idx="4">
                  <c:v>2010г.</c:v>
                </c:pt>
                <c:pt idx="5">
                  <c:v>2011г.</c:v>
                </c:pt>
                <c:pt idx="6">
                  <c:v>2012г.</c:v>
                </c:pt>
              </c:strCache>
            </c:strRef>
          </c:cat>
          <c:val>
            <c:numRef>
              <c:f>(Лист1!$B$6:$I$6;Лист1!$J$6)</c:f>
              <c:numCache>
                <c:formatCode>#,##0.0</c:formatCode>
                <c:ptCount val="7"/>
                <c:pt idx="0">
                  <c:v>26700000</c:v>
                </c:pt>
                <c:pt idx="1">
                  <c:v>60600571.274769999</c:v>
                </c:pt>
                <c:pt idx="2">
                  <c:v>64884846.273809999</c:v>
                </c:pt>
                <c:pt idx="3">
                  <c:v>60600572.274769999</c:v>
                </c:pt>
                <c:pt idx="4">
                  <c:v>65720219</c:v>
                </c:pt>
                <c:pt idx="5">
                  <c:v>80791844.317520007</c:v>
                </c:pt>
                <c:pt idx="6">
                  <c:v>77531881.520510003</c:v>
                </c:pt>
              </c:numCache>
            </c:numRef>
          </c:val>
          <c:smooth val="0"/>
        </c:ser>
        <c:dLbls>
          <c:showLegendKey val="0"/>
          <c:showVal val="0"/>
          <c:showCatName val="0"/>
          <c:showSerName val="0"/>
          <c:showPercent val="0"/>
          <c:showBubbleSize val="0"/>
        </c:dLbls>
        <c:marker val="1"/>
        <c:smooth val="0"/>
        <c:axId val="169053568"/>
        <c:axId val="169063552"/>
      </c:lineChart>
      <c:catAx>
        <c:axId val="16905356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50" b="0" i="0" u="none" strike="noStrike" baseline="0">
                <a:solidFill>
                  <a:srgbClr val="000000"/>
                </a:solidFill>
                <a:latin typeface="Times New Roman"/>
                <a:ea typeface="Times New Roman"/>
                <a:cs typeface="Times New Roman"/>
              </a:defRPr>
            </a:pPr>
            <a:endParaRPr lang="ru-RU"/>
          </a:p>
        </c:txPr>
        <c:crossAx val="169063552"/>
        <c:crosses val="autoZero"/>
        <c:auto val="0"/>
        <c:lblAlgn val="ctr"/>
        <c:lblOffset val="100"/>
        <c:tickLblSkip val="1"/>
        <c:tickMarkSkip val="1"/>
        <c:noMultiLvlLbl val="0"/>
      </c:catAx>
      <c:valAx>
        <c:axId val="169063552"/>
        <c:scaling>
          <c:orientation val="minMax"/>
        </c:scaling>
        <c:delete val="0"/>
        <c:axPos val="l"/>
        <c:majorGridlines>
          <c:spPr>
            <a:ln w="3175">
              <a:solidFill>
                <a:srgbClr val="000000"/>
              </a:solidFill>
              <a:prstDash val="solid"/>
            </a:ln>
          </c:spPr>
        </c:majorGridlines>
        <c:title>
          <c:tx>
            <c:rich>
              <a:bodyPr/>
              <a:lstStyle/>
              <a:p>
                <a:pPr>
                  <a:defRPr sz="1050" b="1" i="0" u="none" strike="noStrike" baseline="0">
                    <a:solidFill>
                      <a:srgbClr val="000000"/>
                    </a:solidFill>
                    <a:latin typeface="Times New Roman"/>
                    <a:ea typeface="Times New Roman"/>
                    <a:cs typeface="Times New Roman"/>
                  </a:defRPr>
                </a:pPr>
                <a:r>
                  <a:rPr lang="ru-RU" sz="1050"/>
                  <a:t>Тыс. руб.</a:t>
                </a:r>
              </a:p>
            </c:rich>
          </c:tx>
          <c:layout>
            <c:manualLayout>
              <c:xMode val="edge"/>
              <c:yMode val="edge"/>
              <c:x val="1.7429193899782137E-2"/>
              <c:y val="0.39782073562330594"/>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50" b="0" i="0" u="none" strike="noStrike" baseline="0">
                <a:solidFill>
                  <a:srgbClr val="000000"/>
                </a:solidFill>
                <a:latin typeface="Times New Roman"/>
                <a:ea typeface="Times New Roman"/>
                <a:cs typeface="Times New Roman"/>
              </a:defRPr>
            </a:pPr>
            <a:endParaRPr lang="ru-RU"/>
          </a:p>
        </c:txPr>
        <c:crossAx val="169053568"/>
        <c:crosses val="autoZero"/>
        <c:crossBetween val="between"/>
      </c:valAx>
      <c:spPr>
        <a:solidFill>
          <a:srgbClr val="C0C0C0"/>
        </a:solidFill>
        <a:ln w="12700">
          <a:solidFill>
            <a:srgbClr val="808080"/>
          </a:solidFill>
          <a:prstDash val="solid"/>
        </a:ln>
      </c:spPr>
    </c:plotArea>
    <c:plotVisOnly val="1"/>
    <c:dispBlanksAs val="gap"/>
    <c:showDLblsOverMax val="0"/>
  </c:chart>
  <c:spPr>
    <a:solidFill>
      <a:srgbClr val="FFFFFF"/>
    </a:solidFill>
    <a:ln w="9525">
      <a:noFill/>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Расходы консолидированного бюджета за 2012 год по ФКР</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5027490243108791"/>
          <c:y val="0.39249023388660753"/>
          <c:w val="0.46826890011966343"/>
          <c:h val="0.41976227918581455"/>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Pt>
            <c:idx val="10"/>
            <c:bubble3D val="0"/>
          </c:dPt>
          <c:dPt>
            <c:idx val="11"/>
            <c:bubble3D val="0"/>
          </c:dPt>
          <c:dPt>
            <c:idx val="12"/>
            <c:bubble3D val="0"/>
          </c:dPt>
          <c:dLbls>
            <c:dLbl>
              <c:idx val="0"/>
              <c:layout>
                <c:manualLayout>
                  <c:x val="0.25691298760529951"/>
                  <c:y val="-0.15005137204194002"/>
                </c:manualLayout>
              </c:layout>
              <c:dLblPos val="bestFit"/>
              <c:showLegendKey val="0"/>
              <c:showVal val="0"/>
              <c:showCatName val="1"/>
              <c:showSerName val="0"/>
              <c:showPercent val="1"/>
              <c:showBubbleSize val="0"/>
            </c:dLbl>
            <c:dLbl>
              <c:idx val="1"/>
              <c:layout>
                <c:manualLayout>
                  <c:x val="0.11703979253941864"/>
                  <c:y val="-5.1290080055922976E-2"/>
                </c:manualLayout>
              </c:layout>
              <c:dLblPos val="bestFit"/>
              <c:showLegendKey val="0"/>
              <c:showVal val="0"/>
              <c:showCatName val="1"/>
              <c:showSerName val="0"/>
              <c:showPercent val="1"/>
              <c:showBubbleSize val="0"/>
            </c:dLbl>
            <c:dLbl>
              <c:idx val="2"/>
              <c:layout>
                <c:manualLayout>
                  <c:x val="0.20686688452051802"/>
                  <c:y val="0.10806827230460704"/>
                </c:manualLayout>
              </c:layout>
              <c:dLblPos val="bestFit"/>
              <c:showLegendKey val="0"/>
              <c:showVal val="0"/>
              <c:showCatName val="1"/>
              <c:showSerName val="0"/>
              <c:showPercent val="1"/>
              <c:showBubbleSize val="0"/>
            </c:dLbl>
            <c:dLbl>
              <c:idx val="3"/>
              <c:layout>
                <c:manualLayout>
                  <c:x val="0.14607021529513564"/>
                  <c:y val="0.20417149871333734"/>
                </c:manualLayout>
              </c:layout>
              <c:dLblPos val="bestFit"/>
              <c:showLegendKey val="0"/>
              <c:showVal val="0"/>
              <c:showCatName val="1"/>
              <c:showSerName val="0"/>
              <c:showPercent val="1"/>
              <c:showBubbleSize val="0"/>
            </c:dLbl>
            <c:dLbl>
              <c:idx val="4"/>
              <c:layout>
                <c:manualLayout>
                  <c:x val="0.13604568198573941"/>
                  <c:y val="0.16809604488066071"/>
                </c:manualLayout>
              </c:layout>
              <c:dLblPos val="bestFit"/>
              <c:showLegendKey val="0"/>
              <c:showVal val="0"/>
              <c:showCatName val="1"/>
              <c:showSerName val="0"/>
              <c:showPercent val="1"/>
              <c:showBubbleSize val="0"/>
            </c:dLbl>
            <c:dLbl>
              <c:idx val="5"/>
              <c:layout>
                <c:manualLayout>
                  <c:x val="-1.1717014843411219E-2"/>
                  <c:y val="0.15804362817199438"/>
                </c:manualLayout>
              </c:layout>
              <c:dLblPos val="bestFit"/>
              <c:showLegendKey val="0"/>
              <c:showVal val="0"/>
              <c:showCatName val="1"/>
              <c:showSerName val="0"/>
              <c:showPercent val="1"/>
              <c:showBubbleSize val="0"/>
            </c:dLbl>
            <c:dLbl>
              <c:idx val="6"/>
              <c:layout>
                <c:manualLayout>
                  <c:x val="-1.6156253827525523E-2"/>
                  <c:y val="4.7688628616860684E-2"/>
                </c:manualLayout>
              </c:layout>
              <c:dLblPos val="bestFit"/>
              <c:showLegendKey val="0"/>
              <c:showVal val="0"/>
              <c:showCatName val="1"/>
              <c:showSerName val="0"/>
              <c:showPercent val="1"/>
              <c:showBubbleSize val="0"/>
            </c:dLbl>
            <c:dLbl>
              <c:idx val="7"/>
              <c:layout>
                <c:manualLayout>
                  <c:x val="-1.1077775937027872E-2"/>
                  <c:y val="0.11732107442861453"/>
                </c:manualLayout>
              </c:layout>
              <c:dLblPos val="bestFit"/>
              <c:showLegendKey val="0"/>
              <c:showVal val="0"/>
              <c:showCatName val="1"/>
              <c:showSerName val="0"/>
              <c:showPercent val="1"/>
              <c:showBubbleSize val="0"/>
            </c:dLbl>
            <c:dLbl>
              <c:idx val="8"/>
              <c:layout>
                <c:manualLayout>
                  <c:x val="-6.2779068869494276E-2"/>
                  <c:y val="1.5825589555999973E-2"/>
                </c:manualLayout>
              </c:layout>
              <c:dLblPos val="bestFit"/>
              <c:showLegendKey val="0"/>
              <c:showVal val="0"/>
              <c:showCatName val="1"/>
              <c:showSerName val="0"/>
              <c:showPercent val="1"/>
              <c:showBubbleSize val="0"/>
            </c:dLbl>
            <c:dLbl>
              <c:idx val="9"/>
              <c:layout>
                <c:manualLayout>
                  <c:x val="-0.15720854897058445"/>
                  <c:y val="4.8880400663029969E-2"/>
                </c:manualLayout>
              </c:layout>
              <c:dLblPos val="bestFit"/>
              <c:showLegendKey val="0"/>
              <c:showVal val="0"/>
              <c:showCatName val="1"/>
              <c:showSerName val="0"/>
              <c:showPercent val="1"/>
              <c:showBubbleSize val="0"/>
            </c:dLbl>
            <c:dLbl>
              <c:idx val="10"/>
              <c:layout>
                <c:manualLayout>
                  <c:x val="-0.18959835863777758"/>
                  <c:y val="-6.3954997091047711E-2"/>
                </c:manualLayout>
              </c:layout>
              <c:dLblPos val="bestFit"/>
              <c:showLegendKey val="0"/>
              <c:showVal val="0"/>
              <c:showCatName val="1"/>
              <c:showSerName val="0"/>
              <c:showPercent val="1"/>
              <c:showBubbleSize val="0"/>
            </c:dLbl>
            <c:dLbl>
              <c:idx val="11"/>
              <c:layout>
                <c:manualLayout>
                  <c:x val="-7.9536896658466902E-2"/>
                  <c:y val="-0.11978659903746186"/>
                </c:manualLayout>
              </c:layout>
              <c:dLblPos val="bestFit"/>
              <c:showLegendKey val="0"/>
              <c:showVal val="0"/>
              <c:showCatName val="1"/>
              <c:showSerName val="0"/>
              <c:showPercent val="1"/>
              <c:showBubbleSize val="0"/>
            </c:dLbl>
            <c:dLbl>
              <c:idx val="12"/>
              <c:layout>
                <c:manualLayout>
                  <c:x val="0.12290696285286021"/>
                  <c:y val="-7.3939343760366788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('Консол бюд'!$B$5;'Консол бюд'!$B$16;'Консол бюд'!$B$18;'Консол бюд'!$B$23;'Консол бюд'!$B$34;'Консол бюд'!$B$39;'Консол бюд'!$B$44;'Консол бюд'!$B$53;'Консол бюд'!$B$56;'Консол бюд'!$B$63;'Консол бюд'!$B$69;'Консол бюд'!$B$75;'Консол бюд'!$B$79)</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strCache>
            </c:strRef>
          </c:cat>
          <c:val>
            <c:numRef>
              <c:f>('Консол бюд'!$F$5;'Консол бюд'!$F$16;'Консол бюд'!$F$18;'Консол бюд'!$F$23;'Консол бюд'!$F$34;'Консол бюд'!$F$39;'Консол бюд'!$F$44;'Консол бюд'!$F$53;'Консол бюд'!$F$56;'Консол бюд'!$F$63;'Консол бюд'!$F$69;'Консол бюд'!$F$75;'Консол бюд'!$F$79)</c:f>
              <c:numCache>
                <c:formatCode>#,##0.0</c:formatCode>
                <c:ptCount val="13"/>
                <c:pt idx="0">
                  <c:v>7996030.4088700004</c:v>
                </c:pt>
                <c:pt idx="1">
                  <c:v>29454.733199999999</c:v>
                </c:pt>
                <c:pt idx="2">
                  <c:v>327771.17418999999</c:v>
                </c:pt>
                <c:pt idx="3">
                  <c:v>11213100.18083</c:v>
                </c:pt>
                <c:pt idx="4">
                  <c:v>8234092.7817900004</c:v>
                </c:pt>
                <c:pt idx="5">
                  <c:v>81649.899999999994</c:v>
                </c:pt>
                <c:pt idx="6">
                  <c:v>19748016.866949998</c:v>
                </c:pt>
                <c:pt idx="7">
                  <c:v>2871434.7323100003</c:v>
                </c:pt>
                <c:pt idx="8">
                  <c:v>12147921.366610002</c:v>
                </c:pt>
                <c:pt idx="9">
                  <c:v>12193626.15044</c:v>
                </c:pt>
                <c:pt idx="10">
                  <c:v>1723018.7784300002</c:v>
                </c:pt>
                <c:pt idx="11">
                  <c:v>812365.52389999991</c:v>
                </c:pt>
                <c:pt idx="12">
                  <c:v>153398.92298999999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b="1" i="0" baseline="0">
                <a:effectLst/>
                <a:latin typeface="Times New Roman" pitchFamily="18" charset="0"/>
                <a:cs typeface="Times New Roman" pitchFamily="18" charset="0"/>
              </a:rPr>
              <a:t>Расходы консолидированного бюджета за 2012 год по КОСГУ</a:t>
            </a:r>
            <a:endParaRPr lang="ru-RU" sz="1400">
              <a:effectLst/>
              <a:latin typeface="Times New Roman" pitchFamily="18" charset="0"/>
              <a:cs typeface="Times New Roman" pitchFamily="18" charset="0"/>
            </a:endParaRPr>
          </a:p>
        </c:rich>
      </c:tx>
      <c:layout>
        <c:manualLayout>
          <c:xMode val="edge"/>
          <c:yMode val="edge"/>
          <c:x val="0.16378289506199278"/>
          <c:y val="6.2221761320317821E-6"/>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6666392094971059"/>
          <c:y val="0.33184020859104746"/>
          <c:w val="0.47974444663189986"/>
          <c:h val="0.46850941844875221"/>
        </c:manualLayout>
      </c:layout>
      <c:pie3DChart>
        <c:varyColors val="1"/>
        <c:ser>
          <c:idx val="0"/>
          <c:order val="0"/>
          <c:explosion val="30"/>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Lbls>
            <c:dLbl>
              <c:idx val="0"/>
              <c:layout>
                <c:manualLayout>
                  <c:x val="-7.2162889512763895E-2"/>
                  <c:y val="-1.6822601296101049E-2"/>
                </c:manualLayout>
              </c:layout>
              <c:dLblPos val="bestFit"/>
              <c:showLegendKey val="0"/>
              <c:showVal val="0"/>
              <c:showCatName val="1"/>
              <c:showSerName val="0"/>
              <c:showPercent val="1"/>
              <c:showBubbleSize val="0"/>
            </c:dLbl>
            <c:dLbl>
              <c:idx val="1"/>
              <c:layout>
                <c:manualLayout>
                  <c:x val="0.14784276866815083"/>
                  <c:y val="-9.1883918649937987E-2"/>
                </c:manualLayout>
              </c:layout>
              <c:dLblPos val="bestFit"/>
              <c:showLegendKey val="0"/>
              <c:showVal val="0"/>
              <c:showCatName val="1"/>
              <c:showSerName val="0"/>
              <c:showPercent val="1"/>
              <c:showBubbleSize val="0"/>
            </c:dLbl>
            <c:dLbl>
              <c:idx val="2"/>
              <c:layout>
                <c:manualLayout>
                  <c:x val="0.12647230938682527"/>
                  <c:y val="8.4287391443790258E-2"/>
                </c:manualLayout>
              </c:layout>
              <c:dLblPos val="bestFit"/>
              <c:showLegendKey val="0"/>
              <c:showVal val="0"/>
              <c:showCatName val="1"/>
              <c:showSerName val="0"/>
              <c:showPercent val="1"/>
              <c:showBubbleSize val="0"/>
            </c:dLbl>
            <c:dLbl>
              <c:idx val="3"/>
              <c:layout>
                <c:manualLayout>
                  <c:x val="8.9629262313716832E-2"/>
                  <c:y val="0.13534328860511841"/>
                </c:manualLayout>
              </c:layout>
              <c:dLblPos val="bestFit"/>
              <c:showLegendKey val="0"/>
              <c:showVal val="0"/>
              <c:showCatName val="1"/>
              <c:showSerName val="0"/>
              <c:showPercent val="1"/>
              <c:showBubbleSize val="0"/>
            </c:dLbl>
            <c:dLbl>
              <c:idx val="4"/>
              <c:layout>
                <c:manualLayout>
                  <c:x val="1.7663087350042746E-2"/>
                  <c:y val="-7.043701403466985E-3"/>
                </c:manualLayout>
              </c:layout>
              <c:dLblPos val="bestFit"/>
              <c:showLegendKey val="0"/>
              <c:showVal val="0"/>
              <c:showCatName val="1"/>
              <c:showSerName val="0"/>
              <c:showPercent val="1"/>
              <c:showBubbleSize val="0"/>
            </c:dLbl>
            <c:dLbl>
              <c:idx val="5"/>
              <c:layout>
                <c:manualLayout>
                  <c:x val="7.8292471573592357E-2"/>
                  <c:y val="2.6409436474262464E-2"/>
                </c:manualLayout>
              </c:layout>
              <c:dLblPos val="bestFit"/>
              <c:showLegendKey val="0"/>
              <c:showVal val="0"/>
              <c:showCatName val="1"/>
              <c:showSerName val="0"/>
              <c:showPercent val="1"/>
              <c:showBubbleSize val="0"/>
            </c:dLbl>
            <c:dLbl>
              <c:idx val="6"/>
              <c:layout>
                <c:manualLayout>
                  <c:x val="-5.1458140446717163E-2"/>
                  <c:y val="0.14408599856969254"/>
                </c:manualLayout>
              </c:layout>
              <c:dLblPos val="bestFit"/>
              <c:showLegendKey val="0"/>
              <c:showVal val="0"/>
              <c:showCatName val="1"/>
              <c:showSerName val="0"/>
              <c:showPercent val="1"/>
              <c:showBubbleSize val="0"/>
            </c:dLbl>
            <c:dLbl>
              <c:idx val="7"/>
              <c:layout>
                <c:manualLayout>
                  <c:x val="-8.1908579067237766E-2"/>
                  <c:y val="7.4784981037467016E-2"/>
                </c:manualLayout>
              </c:layout>
              <c:dLblPos val="bestFit"/>
              <c:showLegendKey val="0"/>
              <c:showVal val="0"/>
              <c:showCatName val="1"/>
              <c:showSerName val="0"/>
              <c:showPercent val="1"/>
              <c:showBubbleSize val="0"/>
            </c:dLbl>
            <c:dLbl>
              <c:idx val="8"/>
              <c:layout>
                <c:manualLayout>
                  <c:x val="-0.27398914860046913"/>
                  <c:y val="-2.1969993225573334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('Конс бюдж'!$B$6;'Конс бюдж'!$B$10;'Конс бюдж'!$B$17;'Конс бюдж'!$B$19;'Конс бюдж'!$B$22;'Конс бюдж'!$B$24;'Конс бюдж'!$B$28;'Конс бюдж'!$B$29;'Конс бюдж'!$B$34)</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('Конс бюдж'!$E$6;'Конс бюдж'!$E$10;'Конс бюдж'!$E$17;'Конс бюдж'!$E$19;'Конс бюдж'!$E$22;'Конс бюдж'!$E$24;'Конс бюдж'!$E$28;'Конс бюдж'!$E$29;'Конс бюдж'!$E$34)</c:f>
              <c:numCache>
                <c:formatCode>#,##0.0</c:formatCode>
                <c:ptCount val="9"/>
                <c:pt idx="0">
                  <c:v>4886965.6000899998</c:v>
                </c:pt>
                <c:pt idx="1">
                  <c:v>8889269.8291999996</c:v>
                </c:pt>
                <c:pt idx="2">
                  <c:v>153398.92298999999</c:v>
                </c:pt>
                <c:pt idx="3">
                  <c:v>21422161.065949999</c:v>
                </c:pt>
                <c:pt idx="4">
                  <c:v>181158.49299999999</c:v>
                </c:pt>
                <c:pt idx="5">
                  <c:v>13677944.649880001</c:v>
                </c:pt>
                <c:pt idx="6">
                  <c:v>391900.98136999999</c:v>
                </c:pt>
                <c:pt idx="7">
                  <c:v>27547350.538029999</c:v>
                </c:pt>
                <c:pt idx="8">
                  <c:v>381731.44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25" b="0" i="0" u="none" strike="noStrike" baseline="0">
                <a:solidFill>
                  <a:srgbClr val="000000"/>
                </a:solidFill>
                <a:latin typeface="Times New Roman" pitchFamily="18" charset="0"/>
                <a:ea typeface="Arial Cyr"/>
                <a:cs typeface="Times New Roman" pitchFamily="18" charset="0"/>
              </a:defRPr>
            </a:pPr>
            <a:r>
              <a:rPr lang="ru-RU" sz="1200" b="1" i="0" u="none" strike="noStrike" baseline="0">
                <a:solidFill>
                  <a:srgbClr val="000000"/>
                </a:solidFill>
                <a:latin typeface="Times New Roman" pitchFamily="18" charset="0"/>
                <a:cs typeface="Times New Roman" pitchFamily="18" charset="0"/>
              </a:rPr>
              <a:t>Соотношение капитальных и текущих расходов консолидированного бюджета Чеченской Республики в 2012 году</a:t>
            </a:r>
          </a:p>
        </c:rich>
      </c:tx>
      <c:layout>
        <c:manualLayout>
          <c:xMode val="edge"/>
          <c:yMode val="edge"/>
          <c:x val="0.16989567809239942"/>
          <c:y val="1.2755102040816327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7719821162444125"/>
          <c:y val="0.40306122448979587"/>
          <c:w val="0.44709388971684061"/>
          <c:h val="0.3061224489795919"/>
        </c:manualLayout>
      </c:layout>
      <c:pie3DChart>
        <c:varyColors val="1"/>
        <c:ser>
          <c:idx val="0"/>
          <c:order val="0"/>
          <c:spPr>
            <a:solidFill>
              <a:srgbClr val="9999FF"/>
            </a:solidFill>
            <a:ln w="12700">
              <a:solidFill>
                <a:srgbClr val="000000"/>
              </a:solidFill>
              <a:prstDash val="solid"/>
            </a:ln>
          </c:spPr>
          <c:explosion val="25"/>
          <c:dPt>
            <c:idx val="0"/>
            <c:bubble3D val="0"/>
          </c:dPt>
          <c:dPt>
            <c:idx val="1"/>
            <c:bubble3D val="0"/>
            <c:spPr>
              <a:solidFill>
                <a:srgbClr val="993366"/>
              </a:solidFill>
              <a:ln w="12700">
                <a:solidFill>
                  <a:srgbClr val="000000"/>
                </a:solidFill>
                <a:prstDash val="solid"/>
              </a:ln>
            </c:spPr>
          </c:dPt>
          <c:dLbls>
            <c:dLbl>
              <c:idx val="0"/>
              <c:layout>
                <c:manualLayout>
                  <c:x val="3.0479677372668247E-2"/>
                  <c:y val="0.14861428035781243"/>
                </c:manualLayout>
              </c:layout>
              <c:dLblPos val="bestFit"/>
              <c:showLegendKey val="0"/>
              <c:showVal val="0"/>
              <c:showCatName val="1"/>
              <c:showSerName val="0"/>
              <c:showPercent val="1"/>
              <c:showBubbleSize val="0"/>
            </c:dLbl>
            <c:dLbl>
              <c:idx val="1"/>
              <c:layout>
                <c:manualLayout>
                  <c:x val="-7.3758209433954891E-2"/>
                  <c:y val="-0.14232819111896733"/>
                </c:manualLayout>
              </c:layout>
              <c:dLblPos val="bestFit"/>
              <c:showLegendKey val="0"/>
              <c:showVal val="0"/>
              <c:showCatName val="1"/>
              <c:showSerName val="0"/>
              <c:showPercent val="1"/>
              <c:showBubbleSize val="0"/>
            </c:dLbl>
            <c:numFmt formatCode="0%" sourceLinked="0"/>
            <c:spPr>
              <a:noFill/>
              <a:ln w="25400">
                <a:noFill/>
              </a:ln>
            </c:spPr>
            <c:txPr>
              <a:bodyPr/>
              <a:lstStyle/>
              <a:p>
                <a:pPr>
                  <a:defRPr sz="102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0"/>
            <c:showCatName val="1"/>
            <c:showSerName val="0"/>
            <c:showPercent val="1"/>
            <c:showBubbleSize val="0"/>
            <c:showLeaderLines val="1"/>
          </c:dLbls>
          <c:cat>
            <c:strRef>
              <c:f>'2008'!$A$26:$A$27</c:f>
              <c:strCache>
                <c:ptCount val="2"/>
                <c:pt idx="0">
                  <c:v>Текущие расходы</c:v>
                </c:pt>
                <c:pt idx="1">
                  <c:v>Капитальные расходы</c:v>
                </c:pt>
              </c:strCache>
            </c:strRef>
          </c:cat>
          <c:val>
            <c:numRef>
              <c:f>'2008'!$D$30:$D$31</c:f>
              <c:numCache>
                <c:formatCode>#,##0.0</c:formatCode>
                <c:ptCount val="2"/>
                <c:pt idx="0">
                  <c:v>51446617.449820004</c:v>
                </c:pt>
                <c:pt idx="1">
                  <c:v>26085264.070689999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0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latin typeface="Times New Roman" pitchFamily="18" charset="0"/>
                <a:cs typeface="Times New Roman" pitchFamily="18" charset="0"/>
              </a:defRPr>
            </a:pPr>
            <a:r>
              <a:rPr lang="ru-RU" sz="1300">
                <a:latin typeface="Times New Roman" pitchFamily="18" charset="0"/>
                <a:cs typeface="Times New Roman" pitchFamily="18" charset="0"/>
              </a:rPr>
              <a:t>ТОП-10 стран</a:t>
            </a:r>
          </a:p>
          <a:p>
            <a:pPr>
              <a:defRPr sz="1300">
                <a:latin typeface="Times New Roman" pitchFamily="18" charset="0"/>
                <a:cs typeface="Times New Roman" pitchFamily="18" charset="0"/>
              </a:defRPr>
            </a:pPr>
            <a:r>
              <a:rPr lang="ru-RU" sz="1300">
                <a:latin typeface="Times New Roman" pitchFamily="18" charset="0"/>
                <a:cs typeface="Times New Roman" pitchFamily="18" charset="0"/>
              </a:rPr>
              <a:t>ВВП на душу населения, тыс. долларов США</a:t>
            </a:r>
          </a:p>
          <a:p>
            <a:pPr>
              <a:defRPr sz="1300">
                <a:latin typeface="Times New Roman" pitchFamily="18" charset="0"/>
                <a:cs typeface="Times New Roman" pitchFamily="18" charset="0"/>
              </a:defRPr>
            </a:pPr>
            <a:r>
              <a:rPr lang="ru-RU" sz="1300">
                <a:latin typeface="Times New Roman" pitchFamily="18" charset="0"/>
                <a:cs typeface="Times New Roman" pitchFamily="18" charset="0"/>
              </a:rPr>
              <a:t>(по состоянию на 2012 год)</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Лист10!$B$7:$B$16</c:f>
              <c:strCache>
                <c:ptCount val="10"/>
                <c:pt idx="0">
                  <c:v>Люксембург</c:v>
                </c:pt>
                <c:pt idx="1">
                  <c:v>Норвегия</c:v>
                </c:pt>
                <c:pt idx="2">
                  <c:v>Катар</c:v>
                </c:pt>
                <c:pt idx="3">
                  <c:v>Швейцария</c:v>
                </c:pt>
                <c:pt idx="4">
                  <c:v>Австралия</c:v>
                </c:pt>
                <c:pt idx="5">
                  <c:v>ОАЭ</c:v>
                </c:pt>
                <c:pt idx="6">
                  <c:v>Кувейт</c:v>
                </c:pt>
                <c:pt idx="7">
                  <c:v>Швеция</c:v>
                </c:pt>
                <c:pt idx="8">
                  <c:v>Дания</c:v>
                </c:pt>
                <c:pt idx="9">
                  <c:v>Канада</c:v>
                </c:pt>
              </c:strCache>
            </c:strRef>
          </c:cat>
          <c:val>
            <c:numRef>
              <c:f>Лист10!$C$7:$C$16</c:f>
              <c:numCache>
                <c:formatCode>General</c:formatCode>
                <c:ptCount val="10"/>
                <c:pt idx="0">
                  <c:v>110.6</c:v>
                </c:pt>
                <c:pt idx="1">
                  <c:v>106.3</c:v>
                </c:pt>
                <c:pt idx="2">
                  <c:v>92.3</c:v>
                </c:pt>
                <c:pt idx="3">
                  <c:v>80.900000000000006</c:v>
                </c:pt>
                <c:pt idx="4">
                  <c:v>70.099999999999994</c:v>
                </c:pt>
                <c:pt idx="5">
                  <c:v>68.3</c:v>
                </c:pt>
                <c:pt idx="6">
                  <c:v>67.2</c:v>
                </c:pt>
                <c:pt idx="7">
                  <c:v>57.2</c:v>
                </c:pt>
                <c:pt idx="8">
                  <c:v>56.2</c:v>
                </c:pt>
                <c:pt idx="9">
                  <c:v>51.6</c:v>
                </c:pt>
              </c:numCache>
            </c:numRef>
          </c:val>
        </c:ser>
        <c:dLbls>
          <c:showLegendKey val="0"/>
          <c:showVal val="1"/>
          <c:showCatName val="0"/>
          <c:showSerName val="0"/>
          <c:showPercent val="0"/>
          <c:showBubbleSize val="0"/>
        </c:dLbls>
        <c:gapWidth val="150"/>
        <c:shape val="box"/>
        <c:axId val="203811840"/>
        <c:axId val="203863936"/>
        <c:axId val="0"/>
      </c:bar3DChart>
      <c:catAx>
        <c:axId val="203811840"/>
        <c:scaling>
          <c:orientation val="minMax"/>
        </c:scaling>
        <c:delete val="0"/>
        <c:axPos val="b"/>
        <c:majorTickMark val="out"/>
        <c:minorTickMark val="none"/>
        <c:tickLblPos val="nextTo"/>
        <c:txPr>
          <a:bodyPr/>
          <a:lstStyle/>
          <a:p>
            <a:pPr>
              <a:defRPr sz="1200" b="1">
                <a:latin typeface="Times New Roman" pitchFamily="18" charset="0"/>
                <a:cs typeface="Times New Roman" pitchFamily="18" charset="0"/>
              </a:defRPr>
            </a:pPr>
            <a:endParaRPr lang="ru-RU"/>
          </a:p>
        </c:txPr>
        <c:crossAx val="203863936"/>
        <c:crosses val="autoZero"/>
        <c:auto val="1"/>
        <c:lblAlgn val="ctr"/>
        <c:lblOffset val="100"/>
        <c:noMultiLvlLbl val="0"/>
      </c:catAx>
      <c:valAx>
        <c:axId val="203863936"/>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203811840"/>
        <c:crosses val="autoZero"/>
        <c:crossBetween val="between"/>
      </c:valAx>
    </c:plotArea>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Times New Roman" pitchFamily="18" charset="0"/>
                <a:ea typeface="Arial Cyr"/>
                <a:cs typeface="Times New Roman" pitchFamily="18" charset="0"/>
              </a:defRPr>
            </a:pPr>
            <a:r>
              <a:rPr lang="ru-RU">
                <a:latin typeface="Times New Roman" pitchFamily="18" charset="0"/>
                <a:cs typeface="Times New Roman" pitchFamily="18" charset="0"/>
              </a:rPr>
              <a:t>Соотношение капитальных и текущих расходов консолидированного бюджета Чеченской Республики в динаимке лет</a:t>
            </a:r>
          </a:p>
        </c:rich>
      </c:tx>
      <c:layout>
        <c:manualLayout>
          <c:xMode val="edge"/>
          <c:yMode val="edge"/>
          <c:x val="0.16865687311474126"/>
          <c:y val="1.2987012987012988E-2"/>
        </c:manualLayout>
      </c:layout>
      <c:overlay val="0"/>
      <c:spPr>
        <a:noFill/>
        <a:ln w="25400">
          <a:noFill/>
        </a:ln>
      </c:spPr>
    </c:title>
    <c:autoTitleDeleted val="0"/>
    <c:view3D>
      <c:rotX val="15"/>
      <c:hPercent val="41"/>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5671653212200631"/>
          <c:y val="0.20259765954451545"/>
          <c:w val="0.82238865904024239"/>
          <c:h val="0.65714369057387734"/>
        </c:manualLayout>
      </c:layout>
      <c:bar3DChart>
        <c:barDir val="col"/>
        <c:grouping val="clustered"/>
        <c:varyColors val="0"/>
        <c:ser>
          <c:idx val="0"/>
          <c:order val="0"/>
          <c:tx>
            <c:strRef>
              <c:f>'2008'!$A$7</c:f>
              <c:strCache>
                <c:ptCount val="1"/>
                <c:pt idx="0">
                  <c:v>Капитальные расходы</c:v>
                </c:pt>
              </c:strCache>
            </c:strRef>
          </c:tx>
          <c:spPr>
            <a:solidFill>
              <a:srgbClr val="9999FF"/>
            </a:solidFill>
            <a:ln w="12700">
              <a:solidFill>
                <a:srgbClr val="000000"/>
              </a:solidFill>
              <a:prstDash val="solid"/>
            </a:ln>
          </c:spPr>
          <c:invertIfNegative val="0"/>
          <c:dLbls>
            <c:dLbl>
              <c:idx val="0"/>
              <c:layout>
                <c:manualLayout>
                  <c:x val="-4.5008030712578835E-3"/>
                  <c:y val="-8.0728090806830959E-3"/>
                </c:manualLayout>
              </c:layout>
              <c:showLegendKey val="0"/>
              <c:showVal val="1"/>
              <c:showCatName val="0"/>
              <c:showSerName val="0"/>
              <c:showPercent val="0"/>
              <c:showBubbleSize val="0"/>
            </c:dLbl>
            <c:dLbl>
              <c:idx val="1"/>
              <c:layout>
                <c:manualLayout>
                  <c:x val="3.9315234849375173E-4"/>
                  <c:y val="0.25050714115281053"/>
                </c:manualLayout>
              </c:layout>
              <c:showLegendKey val="0"/>
              <c:showVal val="1"/>
              <c:showCatName val="0"/>
              <c:showSerName val="0"/>
              <c:showPercent val="0"/>
              <c:showBubbleSize val="0"/>
            </c:dLbl>
            <c:dLbl>
              <c:idx val="2"/>
              <c:layout>
                <c:manualLayout>
                  <c:x val="2.3017197477181025E-3"/>
                  <c:y val="0.24896887889013875"/>
                </c:manualLayout>
              </c:layout>
              <c:showLegendKey val="0"/>
              <c:showVal val="1"/>
              <c:showCatName val="0"/>
              <c:showSerName val="0"/>
              <c:showPercent val="0"/>
              <c:showBubbleSize val="0"/>
            </c:dLbl>
            <c:dLbl>
              <c:idx val="3"/>
              <c:layout>
                <c:manualLayout>
                  <c:x val="1.7230383515493399E-3"/>
                  <c:y val="0.25145256842894637"/>
                </c:manualLayout>
              </c:layout>
              <c:showLegendKey val="0"/>
              <c:showVal val="1"/>
              <c:showCatName val="0"/>
              <c:showSerName val="0"/>
              <c:showPercent val="0"/>
              <c:showBubbleSize val="0"/>
            </c:dLbl>
            <c:dLbl>
              <c:idx val="4"/>
              <c:layout>
                <c:manualLayout>
                  <c:x val="3.1340933129627453E-3"/>
                  <c:y val="0.24099396666325801"/>
                </c:manualLayout>
              </c:layout>
              <c:showLegendKey val="0"/>
              <c:showVal val="1"/>
              <c:showCatName val="0"/>
              <c:showSerName val="0"/>
              <c:showPercent val="0"/>
              <c:showBubbleSize val="0"/>
            </c:dLbl>
            <c:dLbl>
              <c:idx val="5"/>
              <c:layout>
                <c:manualLayout>
                  <c:x val="3.0529243546049281E-3"/>
                  <c:y val="0.24735371714899274"/>
                </c:manualLayout>
              </c:layout>
              <c:showLegendKey val="0"/>
              <c:showVal val="1"/>
              <c:showCatName val="0"/>
              <c:showSerName val="0"/>
              <c:showPercent val="0"/>
              <c:showBubbleSize val="0"/>
            </c:dLbl>
            <c:dLbl>
              <c:idx val="6"/>
              <c:layout>
                <c:manualLayout>
                  <c:x val="-1.5061699377130098E-3"/>
                  <c:y val="0.24012516617241034"/>
                </c:manualLayout>
              </c:layout>
              <c:showLegendKey val="0"/>
              <c:showVal val="1"/>
              <c:showCatName val="0"/>
              <c:showSerName val="0"/>
              <c:showPercent val="0"/>
              <c:showBubbleSize val="0"/>
            </c:dLbl>
            <c:spPr>
              <a:noFill/>
              <a:ln w="25400">
                <a:noFill/>
              </a:ln>
            </c:spPr>
            <c:txPr>
              <a:bodyPr rot="-5400000" vert="horz"/>
              <a:lstStyle/>
              <a:p>
                <a:pPr algn="ctr">
                  <a:defRPr sz="107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numRef>
              <c:f>'2008'!$H$7:$H$13</c:f>
              <c:numCache>
                <c:formatCode>General</c:formatCode>
                <c:ptCount val="7"/>
                <c:pt idx="0">
                  <c:v>2006</c:v>
                </c:pt>
                <c:pt idx="1">
                  <c:v>2007</c:v>
                </c:pt>
                <c:pt idx="2">
                  <c:v>2008</c:v>
                </c:pt>
                <c:pt idx="3">
                  <c:v>2009</c:v>
                </c:pt>
                <c:pt idx="4">
                  <c:v>2010</c:v>
                </c:pt>
                <c:pt idx="5">
                  <c:v>2011</c:v>
                </c:pt>
                <c:pt idx="6">
                  <c:v>2012</c:v>
                </c:pt>
              </c:numCache>
            </c:numRef>
          </c:cat>
          <c:val>
            <c:numRef>
              <c:f>('2008'!$D$7;'2008'!$D$11;'2008'!$D$15;'2008'!$D$19;'2008'!$D$23;'2008'!$D$27;'2008'!$D$31)</c:f>
              <c:numCache>
                <c:formatCode>#,##0.0</c:formatCode>
                <c:ptCount val="7"/>
                <c:pt idx="0">
                  <c:v>9005556.9000000004</c:v>
                </c:pt>
                <c:pt idx="1">
                  <c:v>35722745.80979</c:v>
                </c:pt>
                <c:pt idx="2">
                  <c:v>30528592.29603</c:v>
                </c:pt>
                <c:pt idx="3">
                  <c:v>31064035.763599999</c:v>
                </c:pt>
                <c:pt idx="4">
                  <c:v>23430830.040630002</c:v>
                </c:pt>
                <c:pt idx="5">
                  <c:v>33384963.173439998</c:v>
                </c:pt>
                <c:pt idx="6">
                  <c:v>26085264.070689999</c:v>
                </c:pt>
              </c:numCache>
            </c:numRef>
          </c:val>
        </c:ser>
        <c:ser>
          <c:idx val="1"/>
          <c:order val="1"/>
          <c:tx>
            <c:strRef>
              <c:f>'2008'!$A$6</c:f>
              <c:strCache>
                <c:ptCount val="1"/>
                <c:pt idx="0">
                  <c:v>Текущие расходы</c:v>
                </c:pt>
              </c:strCache>
            </c:strRef>
          </c:tx>
          <c:spPr>
            <a:solidFill>
              <a:srgbClr val="993366"/>
            </a:solidFill>
            <a:ln w="12700">
              <a:solidFill>
                <a:srgbClr val="000000"/>
              </a:solidFill>
              <a:prstDash val="solid"/>
            </a:ln>
          </c:spPr>
          <c:invertIfNegative val="0"/>
          <c:dLbls>
            <c:dLbl>
              <c:idx val="0"/>
              <c:layout>
                <c:manualLayout>
                  <c:x val="5.7816429662710068E-3"/>
                  <c:y val="-1.3420595152878618E-2"/>
                </c:manualLayout>
              </c:layout>
              <c:showLegendKey val="0"/>
              <c:showVal val="1"/>
              <c:showCatName val="0"/>
              <c:showSerName val="0"/>
              <c:showPercent val="0"/>
              <c:showBubbleSize val="0"/>
            </c:dLbl>
            <c:dLbl>
              <c:idx val="1"/>
              <c:layout>
                <c:manualLayout>
                  <c:x val="2.2177302464057662E-3"/>
                  <c:y val="0.24700657872311416"/>
                </c:manualLayout>
              </c:layout>
              <c:showLegendKey val="0"/>
              <c:showVal val="1"/>
              <c:showCatName val="0"/>
              <c:showSerName val="0"/>
              <c:showPercent val="0"/>
              <c:showBubbleSize val="0"/>
            </c:dLbl>
            <c:dLbl>
              <c:idx val="2"/>
              <c:layout>
                <c:manualLayout>
                  <c:x val="1.141379715595252E-3"/>
                  <c:y val="0.2488265330470055"/>
                </c:manualLayout>
              </c:layout>
              <c:showLegendKey val="0"/>
              <c:showVal val="1"/>
              <c:showCatName val="0"/>
              <c:showSerName val="0"/>
              <c:showPercent val="0"/>
              <c:showBubbleSize val="0"/>
            </c:dLbl>
            <c:dLbl>
              <c:idx val="3"/>
              <c:layout>
                <c:manualLayout>
                  <c:x val="5.6254162259568297E-4"/>
                  <c:y val="0.27582697617343288"/>
                </c:manualLayout>
              </c:layout>
              <c:showLegendKey val="0"/>
              <c:showVal val="1"/>
              <c:showCatName val="0"/>
              <c:showSerName val="0"/>
              <c:showPercent val="0"/>
              <c:showBubbleSize val="0"/>
            </c:dLbl>
            <c:dLbl>
              <c:idx val="4"/>
              <c:layout>
                <c:manualLayout>
                  <c:x val="1.9735965840090883E-3"/>
                  <c:y val="0.26364249923305039"/>
                </c:manualLayout>
              </c:layout>
              <c:showLegendKey val="0"/>
              <c:showVal val="1"/>
              <c:showCatName val="0"/>
              <c:showSerName val="0"/>
              <c:showPercent val="0"/>
              <c:showBubbleSize val="0"/>
            </c:dLbl>
            <c:dLbl>
              <c:idx val="5"/>
              <c:layout>
                <c:manualLayout>
                  <c:x val="1.8924276256512712E-3"/>
                  <c:y val="0.25405106179909331"/>
                </c:manualLayout>
              </c:layout>
              <c:showLegendKey val="0"/>
              <c:showVal val="1"/>
              <c:showCatName val="0"/>
              <c:showSerName val="0"/>
              <c:showPercent val="0"/>
              <c:showBubbleSize val="0"/>
            </c:dLbl>
            <c:dLbl>
              <c:idx val="6"/>
              <c:layout>
                <c:manualLayout>
                  <c:x val="3.8009950248756217E-3"/>
                  <c:y val="0.2592145072774994"/>
                </c:manualLayout>
              </c:layout>
              <c:showLegendKey val="0"/>
              <c:showVal val="1"/>
              <c:showCatName val="0"/>
              <c:showSerName val="0"/>
              <c:showPercent val="0"/>
              <c:showBubbleSize val="0"/>
            </c:dLbl>
            <c:spPr>
              <a:noFill/>
              <a:ln w="25400">
                <a:noFill/>
              </a:ln>
            </c:spPr>
            <c:txPr>
              <a:bodyPr rot="-5400000" vert="horz"/>
              <a:lstStyle/>
              <a:p>
                <a:pPr algn="ctr">
                  <a:defRPr sz="107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numRef>
              <c:f>'2008'!$H$7:$H$13</c:f>
              <c:numCache>
                <c:formatCode>General</c:formatCode>
                <c:ptCount val="7"/>
                <c:pt idx="0">
                  <c:v>2006</c:v>
                </c:pt>
                <c:pt idx="1">
                  <c:v>2007</c:v>
                </c:pt>
                <c:pt idx="2">
                  <c:v>2008</c:v>
                </c:pt>
                <c:pt idx="3">
                  <c:v>2009</c:v>
                </c:pt>
                <c:pt idx="4">
                  <c:v>2010</c:v>
                </c:pt>
                <c:pt idx="5">
                  <c:v>2011</c:v>
                </c:pt>
                <c:pt idx="6">
                  <c:v>2012</c:v>
                </c:pt>
              </c:numCache>
            </c:numRef>
          </c:cat>
          <c:val>
            <c:numRef>
              <c:f>('2008'!$D$6;'2008'!$D$10;'2008'!$D$14;'2008'!$D$18;'2008'!$D$22;'2008'!$D$26;'2008'!$D$30)</c:f>
              <c:numCache>
                <c:formatCode>#,##0.0</c:formatCode>
                <c:ptCount val="7"/>
                <c:pt idx="0">
                  <c:v>18370560.5</c:v>
                </c:pt>
                <c:pt idx="1">
                  <c:v>24877825.5</c:v>
                </c:pt>
                <c:pt idx="2">
                  <c:v>33403186.300000001</c:v>
                </c:pt>
                <c:pt idx="3">
                  <c:v>42991798.546180002</c:v>
                </c:pt>
                <c:pt idx="4">
                  <c:v>42289388.942089997</c:v>
                </c:pt>
                <c:pt idx="5">
                  <c:v>47406881.144079998</c:v>
                </c:pt>
                <c:pt idx="6">
                  <c:v>51446617.449820004</c:v>
                </c:pt>
              </c:numCache>
            </c:numRef>
          </c:val>
        </c:ser>
        <c:dLbls>
          <c:showLegendKey val="0"/>
          <c:showVal val="0"/>
          <c:showCatName val="0"/>
          <c:showSerName val="0"/>
          <c:showPercent val="0"/>
          <c:showBubbleSize val="0"/>
        </c:dLbls>
        <c:gapWidth val="150"/>
        <c:shape val="box"/>
        <c:axId val="197990272"/>
        <c:axId val="197991808"/>
        <c:axId val="0"/>
      </c:bar3DChart>
      <c:catAx>
        <c:axId val="19799027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075" b="1" i="0" u="none" strike="noStrike" baseline="0">
                <a:solidFill>
                  <a:srgbClr val="000000"/>
                </a:solidFill>
                <a:latin typeface="Times New Roman" pitchFamily="18" charset="0"/>
                <a:ea typeface="Arial Cyr"/>
                <a:cs typeface="Times New Roman" pitchFamily="18" charset="0"/>
              </a:defRPr>
            </a:pPr>
            <a:endParaRPr lang="ru-RU"/>
          </a:p>
        </c:txPr>
        <c:crossAx val="197991808"/>
        <c:crosses val="autoZero"/>
        <c:auto val="1"/>
        <c:lblAlgn val="ctr"/>
        <c:lblOffset val="100"/>
        <c:tickLblSkip val="1"/>
        <c:tickMarkSkip val="1"/>
        <c:noMultiLvlLbl val="0"/>
      </c:catAx>
      <c:valAx>
        <c:axId val="197991808"/>
        <c:scaling>
          <c:orientation val="minMax"/>
        </c:scaling>
        <c:delete val="0"/>
        <c:axPos val="l"/>
        <c:majorGridlines>
          <c:spPr>
            <a:ln w="3175">
              <a:solidFill>
                <a:srgbClr val="000000"/>
              </a:solidFill>
              <a:prstDash val="solid"/>
            </a:ln>
          </c:spPr>
        </c:majorGridlines>
        <c:numFmt formatCode="#,##0.0" sourceLinked="1"/>
        <c:majorTickMark val="out"/>
        <c:minorTickMark val="none"/>
        <c:tickLblPos val="nextTo"/>
        <c:spPr>
          <a:ln w="3175">
            <a:solidFill>
              <a:srgbClr val="000000"/>
            </a:solidFill>
            <a:prstDash val="solid"/>
          </a:ln>
        </c:spPr>
        <c:txPr>
          <a:bodyPr rot="0" vert="horz"/>
          <a:lstStyle/>
          <a:p>
            <a:pPr>
              <a:defRPr sz="1075" b="1" i="0" u="none" strike="noStrike" baseline="0">
                <a:solidFill>
                  <a:srgbClr val="000000"/>
                </a:solidFill>
                <a:latin typeface="Times New Roman" pitchFamily="18" charset="0"/>
                <a:ea typeface="Arial Cyr"/>
                <a:cs typeface="Times New Roman" pitchFamily="18" charset="0"/>
              </a:defRPr>
            </a:pPr>
            <a:endParaRPr lang="ru-RU"/>
          </a:p>
        </c:txPr>
        <c:crossAx val="197990272"/>
        <c:crosses val="autoZero"/>
        <c:crossBetween val="between"/>
      </c:valAx>
      <c:spPr>
        <a:noFill/>
        <a:ln w="25400">
          <a:noFill/>
        </a:ln>
      </c:spPr>
    </c:plotArea>
    <c:legend>
      <c:legendPos val="b"/>
      <c:layout>
        <c:manualLayout>
          <c:xMode val="edge"/>
          <c:yMode val="edge"/>
          <c:x val="0.28955239550280093"/>
          <c:y val="0.9194816102532638"/>
          <c:w val="0.42089583578172135"/>
          <c:h val="6.2337662337662358E-2"/>
        </c:manualLayout>
      </c:layout>
      <c:overlay val="0"/>
      <c:spPr>
        <a:solidFill>
          <a:srgbClr val="FFFFFF"/>
        </a:solidFill>
        <a:ln w="3175">
          <a:noFill/>
          <a:prstDash val="solid"/>
        </a:ln>
      </c:spPr>
      <c:txPr>
        <a:bodyPr/>
        <a:lstStyle/>
        <a:p>
          <a:pPr>
            <a:defRPr sz="92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pitchFamily="18" charset="0"/>
                <a:ea typeface="Arial Cyr"/>
                <a:cs typeface="Times New Roman" pitchFamily="18" charset="0"/>
              </a:defRPr>
            </a:pPr>
            <a:r>
              <a:rPr lang="ru-RU" sz="1100">
                <a:latin typeface="Times New Roman" pitchFamily="18" charset="0"/>
                <a:cs typeface="Times New Roman" pitchFamily="18" charset="0"/>
              </a:rPr>
              <a:t>Динамика роста средней заработной платы по разделам</a:t>
            </a:r>
          </a:p>
        </c:rich>
      </c:tx>
      <c:layout>
        <c:manualLayout>
          <c:xMode val="edge"/>
          <c:yMode val="edge"/>
          <c:x val="0.19232361409369284"/>
          <c:y val="2.2675736961451247E-2"/>
        </c:manualLayout>
      </c:layout>
      <c:overlay val="0"/>
      <c:spPr>
        <a:noFill/>
        <a:ln w="25400">
          <a:noFill/>
        </a:ln>
      </c:spPr>
    </c:title>
    <c:autoTitleDeleted val="0"/>
    <c:plotArea>
      <c:layout>
        <c:manualLayout>
          <c:layoutTarget val="inner"/>
          <c:xMode val="edge"/>
          <c:yMode val="edge"/>
          <c:x val="0.11636377410484625"/>
          <c:y val="0.14739261663968747"/>
          <c:w val="0.53575820994106282"/>
          <c:h val="0.75283613422117324"/>
        </c:manualLayout>
      </c:layout>
      <c:lineChart>
        <c:grouping val="standard"/>
        <c:varyColors val="0"/>
        <c:ser>
          <c:idx val="0"/>
          <c:order val="0"/>
          <c:tx>
            <c:strRef>
              <c:f>Лист1!$A$4</c:f>
              <c:strCache>
                <c:ptCount val="1"/>
                <c:pt idx="0">
                  <c:v>Органы управления</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cat>
            <c:strRef>
              <c:f>(Лист1!$B$2;Лист1!$E$2;Лист1!$I$2)</c:f>
              <c:strCache>
                <c:ptCount val="3"/>
                <c:pt idx="0">
                  <c:v>2010г.</c:v>
                </c:pt>
                <c:pt idx="1">
                  <c:v>2011г.</c:v>
                </c:pt>
                <c:pt idx="2">
                  <c:v>2012г.</c:v>
                </c:pt>
              </c:strCache>
            </c:strRef>
          </c:cat>
          <c:val>
            <c:numRef>
              <c:f>(Лист1!$D$4;Лист1!$G$4;Лист1!$K$4)</c:f>
              <c:numCache>
                <c:formatCode>#,##0.0</c:formatCode>
                <c:ptCount val="3"/>
                <c:pt idx="0">
                  <c:v>21145.512965475653</c:v>
                </c:pt>
                <c:pt idx="1">
                  <c:v>21607.74209879222</c:v>
                </c:pt>
                <c:pt idx="2">
                  <c:v>23249.234303215926</c:v>
                </c:pt>
              </c:numCache>
            </c:numRef>
          </c:val>
          <c:smooth val="0"/>
        </c:ser>
        <c:ser>
          <c:idx val="1"/>
          <c:order val="1"/>
          <c:tx>
            <c:strRef>
              <c:f>Лист1!$A$5</c:f>
              <c:strCache>
                <c:ptCount val="1"/>
                <c:pt idx="0">
                  <c:v>Национальная безопасность и правоохранительная деятельность</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cat>
            <c:strRef>
              <c:f>(Лист1!$B$2;Лист1!$E$2;Лист1!$I$2)</c:f>
              <c:strCache>
                <c:ptCount val="3"/>
                <c:pt idx="0">
                  <c:v>2010г.</c:v>
                </c:pt>
                <c:pt idx="1">
                  <c:v>2011г.</c:v>
                </c:pt>
                <c:pt idx="2">
                  <c:v>2012г.</c:v>
                </c:pt>
              </c:strCache>
            </c:strRef>
          </c:cat>
          <c:val>
            <c:numRef>
              <c:f>(Лист1!$D$5;Лист1!$G$5;Лист1!$K$5)</c:f>
              <c:numCache>
                <c:formatCode>#,##0.0</c:formatCode>
                <c:ptCount val="3"/>
                <c:pt idx="0">
                  <c:v>17055.836426468708</c:v>
                </c:pt>
                <c:pt idx="1">
                  <c:v>18311.399018980592</c:v>
                </c:pt>
                <c:pt idx="2">
                  <c:v>13415.319476520401</c:v>
                </c:pt>
              </c:numCache>
            </c:numRef>
          </c:val>
          <c:smooth val="0"/>
        </c:ser>
        <c:ser>
          <c:idx val="2"/>
          <c:order val="2"/>
          <c:tx>
            <c:strRef>
              <c:f>Лист1!$A$6</c:f>
              <c:strCache>
                <c:ptCount val="1"/>
                <c:pt idx="0">
                  <c:v>Образование</c:v>
                </c:pt>
              </c:strCache>
            </c:strRef>
          </c:tx>
          <c:spPr>
            <a:ln w="12700">
              <a:solidFill>
                <a:srgbClr val="FFFF00"/>
              </a:solidFill>
              <a:prstDash val="solid"/>
            </a:ln>
          </c:spPr>
          <c:marker>
            <c:symbol val="triangle"/>
            <c:size val="5"/>
            <c:spPr>
              <a:solidFill>
                <a:srgbClr val="FFFF00"/>
              </a:solidFill>
              <a:ln>
                <a:solidFill>
                  <a:srgbClr val="FFFF00"/>
                </a:solidFill>
                <a:prstDash val="solid"/>
              </a:ln>
            </c:spPr>
          </c:marker>
          <c:cat>
            <c:strRef>
              <c:f>(Лист1!$B$2;Лист1!$E$2;Лист1!$I$2)</c:f>
              <c:strCache>
                <c:ptCount val="3"/>
                <c:pt idx="0">
                  <c:v>2010г.</c:v>
                </c:pt>
                <c:pt idx="1">
                  <c:v>2011г.</c:v>
                </c:pt>
                <c:pt idx="2">
                  <c:v>2012г.</c:v>
                </c:pt>
              </c:strCache>
            </c:strRef>
          </c:cat>
          <c:val>
            <c:numRef>
              <c:f>(Лист1!$D$6;Лист1!$G$6;Лист1!$K$6)</c:f>
              <c:numCache>
                <c:formatCode>#,##0.0</c:formatCode>
                <c:ptCount val="3"/>
                <c:pt idx="0">
                  <c:v>6997.4641449353512</c:v>
                </c:pt>
                <c:pt idx="1">
                  <c:v>7668.9044931927738</c:v>
                </c:pt>
                <c:pt idx="2">
                  <c:v>9519.8005251939267</c:v>
                </c:pt>
              </c:numCache>
            </c:numRef>
          </c:val>
          <c:smooth val="0"/>
        </c:ser>
        <c:ser>
          <c:idx val="3"/>
          <c:order val="3"/>
          <c:tx>
            <c:strRef>
              <c:f>Лист1!$A$7</c:f>
              <c:strCache>
                <c:ptCount val="1"/>
                <c:pt idx="0">
                  <c:v>Культура, кинематография и средства массовой информации</c:v>
                </c:pt>
              </c:strCache>
            </c:strRef>
          </c:tx>
          <c:spPr>
            <a:ln w="12700">
              <a:solidFill>
                <a:srgbClr val="FF6600"/>
              </a:solidFill>
              <a:prstDash val="solid"/>
            </a:ln>
          </c:spPr>
          <c:marker>
            <c:symbol val="x"/>
            <c:size val="5"/>
            <c:spPr>
              <a:noFill/>
              <a:ln>
                <a:solidFill>
                  <a:srgbClr val="00FFFF"/>
                </a:solidFill>
                <a:prstDash val="solid"/>
              </a:ln>
            </c:spPr>
          </c:marker>
          <c:cat>
            <c:strRef>
              <c:f>(Лист1!$B$2;Лист1!$E$2;Лист1!$I$2)</c:f>
              <c:strCache>
                <c:ptCount val="3"/>
                <c:pt idx="0">
                  <c:v>2010г.</c:v>
                </c:pt>
                <c:pt idx="1">
                  <c:v>2011г.</c:v>
                </c:pt>
                <c:pt idx="2">
                  <c:v>2012г.</c:v>
                </c:pt>
              </c:strCache>
            </c:strRef>
          </c:cat>
          <c:val>
            <c:numRef>
              <c:f>(Лист1!$D$7;Лист1!$G$7;Лист1!$K$7)</c:f>
              <c:numCache>
                <c:formatCode>#,##0.0</c:formatCode>
                <c:ptCount val="3"/>
                <c:pt idx="0">
                  <c:v>6108.5328812601538</c:v>
                </c:pt>
                <c:pt idx="1">
                  <c:v>6374.841634993666</c:v>
                </c:pt>
                <c:pt idx="2">
                  <c:v>6716.7600373482719</c:v>
                </c:pt>
              </c:numCache>
            </c:numRef>
          </c:val>
          <c:smooth val="1"/>
        </c:ser>
        <c:ser>
          <c:idx val="4"/>
          <c:order val="4"/>
          <c:tx>
            <c:strRef>
              <c:f>Лист1!$A$8</c:f>
              <c:strCache>
                <c:ptCount val="1"/>
                <c:pt idx="0">
                  <c:v>Здравоохранение и спорт</c:v>
                </c:pt>
              </c:strCache>
            </c:strRef>
          </c:tx>
          <c:spPr>
            <a:ln w="12700">
              <a:solidFill>
                <a:srgbClr val="800080"/>
              </a:solidFill>
              <a:prstDash val="solid"/>
            </a:ln>
          </c:spPr>
          <c:marker>
            <c:symbol val="star"/>
            <c:size val="5"/>
            <c:spPr>
              <a:noFill/>
              <a:ln>
                <a:solidFill>
                  <a:srgbClr val="800080"/>
                </a:solidFill>
                <a:prstDash val="solid"/>
              </a:ln>
            </c:spPr>
          </c:marker>
          <c:cat>
            <c:strRef>
              <c:f>(Лист1!$B$2;Лист1!$E$2;Лист1!$I$2)</c:f>
              <c:strCache>
                <c:ptCount val="3"/>
                <c:pt idx="0">
                  <c:v>2010г.</c:v>
                </c:pt>
                <c:pt idx="1">
                  <c:v>2011г.</c:v>
                </c:pt>
                <c:pt idx="2">
                  <c:v>2012г.</c:v>
                </c:pt>
              </c:strCache>
            </c:strRef>
          </c:cat>
          <c:val>
            <c:numRef>
              <c:f>(Лист1!$D$8;Лист1!$G$8;Лист1!$K$8)</c:f>
              <c:numCache>
                <c:formatCode>#,##0.0</c:formatCode>
                <c:ptCount val="3"/>
                <c:pt idx="0">
                  <c:v>1922.2446989126902</c:v>
                </c:pt>
                <c:pt idx="1">
                  <c:v>1912.0534696668728</c:v>
                </c:pt>
                <c:pt idx="2">
                  <c:v>2300.4680801423196</c:v>
                </c:pt>
              </c:numCache>
            </c:numRef>
          </c:val>
          <c:smooth val="0"/>
        </c:ser>
        <c:ser>
          <c:idx val="5"/>
          <c:order val="5"/>
          <c:tx>
            <c:strRef>
              <c:f>Лист1!$A$9</c:f>
              <c:strCache>
                <c:ptCount val="1"/>
                <c:pt idx="0">
                  <c:v>Социальная политика</c:v>
                </c:pt>
              </c:strCache>
            </c:strRef>
          </c:tx>
          <c:spPr>
            <a:ln w="12700">
              <a:solidFill>
                <a:srgbClr val="800000"/>
              </a:solidFill>
              <a:prstDash val="solid"/>
            </a:ln>
          </c:spPr>
          <c:marker>
            <c:symbol val="circle"/>
            <c:size val="5"/>
            <c:spPr>
              <a:solidFill>
                <a:srgbClr val="800000"/>
              </a:solidFill>
              <a:ln>
                <a:solidFill>
                  <a:srgbClr val="800000"/>
                </a:solidFill>
                <a:prstDash val="solid"/>
              </a:ln>
            </c:spPr>
          </c:marker>
          <c:cat>
            <c:strRef>
              <c:f>(Лист1!$B$2;Лист1!$E$2;Лист1!$I$2)</c:f>
              <c:strCache>
                <c:ptCount val="3"/>
                <c:pt idx="0">
                  <c:v>2010г.</c:v>
                </c:pt>
                <c:pt idx="1">
                  <c:v>2011г.</c:v>
                </c:pt>
                <c:pt idx="2">
                  <c:v>2012г.</c:v>
                </c:pt>
              </c:strCache>
            </c:strRef>
          </c:cat>
          <c:val>
            <c:numRef>
              <c:f>(Лист1!$D$9;Лист1!$G$9;Лист1!$K$9)</c:f>
              <c:numCache>
                <c:formatCode>#,##0.0</c:formatCode>
                <c:ptCount val="3"/>
                <c:pt idx="0">
                  <c:v>4372.4760013240648</c:v>
                </c:pt>
                <c:pt idx="1">
                  <c:v>4970.3110141522629</c:v>
                </c:pt>
                <c:pt idx="2">
                  <c:v>5482.9063127025775</c:v>
                </c:pt>
              </c:numCache>
            </c:numRef>
          </c:val>
          <c:smooth val="0"/>
        </c:ser>
        <c:ser>
          <c:idx val="6"/>
          <c:order val="6"/>
          <c:tx>
            <c:strRef>
              <c:f>Лист1!$A$10</c:f>
              <c:strCache>
                <c:ptCount val="1"/>
                <c:pt idx="0">
                  <c:v>Бюджетный сектор</c:v>
                </c:pt>
              </c:strCache>
            </c:strRef>
          </c:tx>
          <c:spPr>
            <a:ln w="12700">
              <a:solidFill>
                <a:srgbClr val="008080"/>
              </a:solidFill>
              <a:prstDash val="solid"/>
            </a:ln>
          </c:spPr>
          <c:marker>
            <c:symbol val="plus"/>
            <c:size val="5"/>
            <c:spPr>
              <a:noFill/>
              <a:ln>
                <a:solidFill>
                  <a:srgbClr val="008080"/>
                </a:solidFill>
                <a:prstDash val="solid"/>
              </a:ln>
            </c:spPr>
          </c:marker>
          <c:cat>
            <c:strRef>
              <c:f>(Лист1!$B$2;Лист1!$E$2;Лист1!$I$2)</c:f>
              <c:strCache>
                <c:ptCount val="3"/>
                <c:pt idx="0">
                  <c:v>2010г.</c:v>
                </c:pt>
                <c:pt idx="1">
                  <c:v>2011г.</c:v>
                </c:pt>
                <c:pt idx="2">
                  <c:v>2012г.</c:v>
                </c:pt>
              </c:strCache>
            </c:strRef>
          </c:cat>
          <c:val>
            <c:numRef>
              <c:f>(Лист1!$D$10;Лист1!$G$10;Лист1!$K$10)</c:f>
              <c:numCache>
                <c:formatCode>#,##0.0</c:formatCode>
                <c:ptCount val="3"/>
                <c:pt idx="0">
                  <c:v>7461.6758124112957</c:v>
                </c:pt>
                <c:pt idx="1">
                  <c:v>7856.3685403080171</c:v>
                </c:pt>
                <c:pt idx="2">
                  <c:v>8251.0338182165524</c:v>
                </c:pt>
              </c:numCache>
            </c:numRef>
          </c:val>
          <c:smooth val="0"/>
        </c:ser>
        <c:dLbls>
          <c:showLegendKey val="0"/>
          <c:showVal val="0"/>
          <c:showCatName val="0"/>
          <c:showSerName val="0"/>
          <c:showPercent val="0"/>
          <c:showBubbleSize val="0"/>
        </c:dLbls>
        <c:marker val="1"/>
        <c:smooth val="0"/>
        <c:axId val="202326400"/>
        <c:axId val="202328320"/>
      </c:lineChart>
      <c:catAx>
        <c:axId val="2023264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25" b="1" i="0" u="none" strike="noStrike" baseline="0">
                <a:solidFill>
                  <a:srgbClr val="000000"/>
                </a:solidFill>
                <a:latin typeface="Times New Roman" pitchFamily="18" charset="0"/>
                <a:ea typeface="Arial Cyr"/>
                <a:cs typeface="Times New Roman" pitchFamily="18" charset="0"/>
              </a:defRPr>
            </a:pPr>
            <a:endParaRPr lang="ru-RU"/>
          </a:p>
        </c:txPr>
        <c:crossAx val="202328320"/>
        <c:crosses val="autoZero"/>
        <c:auto val="0"/>
        <c:lblAlgn val="ctr"/>
        <c:lblOffset val="100"/>
        <c:tickLblSkip val="1"/>
        <c:tickMarkSkip val="1"/>
        <c:noMultiLvlLbl val="0"/>
      </c:catAx>
      <c:valAx>
        <c:axId val="202328320"/>
        <c:scaling>
          <c:orientation val="minMax"/>
        </c:scaling>
        <c:delete val="0"/>
        <c:axPos val="l"/>
        <c:majorGridlines>
          <c:spPr>
            <a:ln w="3175">
              <a:solidFill>
                <a:srgbClr val="000000"/>
              </a:solidFill>
              <a:prstDash val="solid"/>
            </a:ln>
          </c:spPr>
        </c:majorGridlines>
        <c:title>
          <c:tx>
            <c:rich>
              <a:bodyPr/>
              <a:lstStyle/>
              <a:p>
                <a:pPr>
                  <a:defRPr sz="925" b="1" i="0" u="none" strike="noStrike" baseline="0">
                    <a:solidFill>
                      <a:srgbClr val="000000"/>
                    </a:solidFill>
                    <a:latin typeface="Arial Cyr"/>
                    <a:ea typeface="Arial Cyr"/>
                    <a:cs typeface="Arial Cyr"/>
                  </a:defRPr>
                </a:pPr>
                <a:r>
                  <a:rPr lang="ru-RU"/>
                  <a:t>Руб.</a:t>
                </a:r>
              </a:p>
            </c:rich>
          </c:tx>
          <c:layout>
            <c:manualLayout>
              <c:xMode val="edge"/>
              <c:yMode val="edge"/>
              <c:x val="1.6969696969696971E-2"/>
              <c:y val="0.49206468239089163"/>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925" b="1" i="0" u="none" strike="noStrike" baseline="0">
                <a:solidFill>
                  <a:srgbClr val="000000"/>
                </a:solidFill>
                <a:latin typeface="Times New Roman" pitchFamily="18" charset="0"/>
                <a:ea typeface="Arial Cyr"/>
                <a:cs typeface="Times New Roman" pitchFamily="18" charset="0"/>
              </a:defRPr>
            </a:pPr>
            <a:endParaRPr lang="ru-RU"/>
          </a:p>
        </c:txPr>
        <c:crossAx val="202326400"/>
        <c:crosses val="autoZero"/>
        <c:crossBetween val="between"/>
      </c:valAx>
      <c:spPr>
        <a:solidFill>
          <a:srgbClr val="C0C0C0"/>
        </a:solidFill>
        <a:ln w="12700">
          <a:solidFill>
            <a:srgbClr val="808080"/>
          </a:solidFill>
          <a:prstDash val="solid"/>
        </a:ln>
      </c:spPr>
    </c:plotArea>
    <c:legend>
      <c:legendPos val="r"/>
      <c:layout>
        <c:manualLayout>
          <c:xMode val="edge"/>
          <c:yMode val="edge"/>
          <c:x val="0.66303030303030308"/>
          <c:y val="0.10734651683405769"/>
          <c:w val="0.32484848484848483"/>
          <c:h val="0.85901074252619747"/>
        </c:manualLayout>
      </c:layout>
      <c:overlay val="0"/>
      <c:spPr>
        <a:solidFill>
          <a:srgbClr val="FFFFFF"/>
        </a:solidFill>
        <a:ln w="3175">
          <a:noFill/>
          <a:prstDash val="solid"/>
        </a:ln>
      </c:spPr>
      <c:txPr>
        <a:bodyPr/>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3175">
      <a:no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pitchFamily="18" charset="0"/>
                <a:ea typeface="Arial Cyr"/>
                <a:cs typeface="Times New Roman" pitchFamily="18" charset="0"/>
              </a:defRPr>
            </a:pPr>
            <a:r>
              <a:rPr lang="ru-RU" sz="1100">
                <a:latin typeface="Times New Roman" pitchFamily="18" charset="0"/>
                <a:cs typeface="Times New Roman" pitchFamily="18" charset="0"/>
              </a:rPr>
              <a:t>Увеличение средней заработной платы в динамике лет               
</a:t>
            </a:r>
          </a:p>
        </c:rich>
      </c:tx>
      <c:layout>
        <c:manualLayout>
          <c:xMode val="edge"/>
          <c:yMode val="edge"/>
          <c:x val="0.21844660194174756"/>
          <c:y val="2.7923211169284468E-2"/>
        </c:manualLayout>
      </c:layout>
      <c:overlay val="0"/>
      <c:spPr>
        <a:noFill/>
        <a:ln w="25400">
          <a:noFill/>
        </a:ln>
      </c:spPr>
    </c:title>
    <c:autoTitleDeleted val="0"/>
    <c:view3D>
      <c:rotX val="10"/>
      <c:rotY val="2"/>
      <c:depthPercent val="100"/>
      <c:rAngAx val="1"/>
    </c:view3D>
    <c:floor>
      <c:thickness val="0"/>
      <c:spPr>
        <a:solidFill>
          <a:schemeClr val="bg1">
            <a:lumMod val="95000"/>
          </a:schemeClr>
        </a:solidFill>
      </c:spPr>
    </c:floor>
    <c:sideWall>
      <c:thickness val="0"/>
      <c:spPr>
        <a:solidFill>
          <a:schemeClr val="bg2">
            <a:lumMod val="90000"/>
          </a:schemeClr>
        </a:solidFill>
        <a:ln w="12700">
          <a:solidFill>
            <a:srgbClr val="808080"/>
          </a:solidFill>
          <a:prstDash val="solid"/>
        </a:ln>
      </c:spPr>
    </c:sideWall>
    <c:backWall>
      <c:thickness val="0"/>
      <c:spPr>
        <a:solidFill>
          <a:schemeClr val="bg2">
            <a:lumMod val="90000"/>
          </a:schemeClr>
        </a:solidFill>
        <a:ln w="12700">
          <a:solidFill>
            <a:srgbClr val="808080"/>
          </a:solidFill>
          <a:prstDash val="solid"/>
        </a:ln>
      </c:spPr>
    </c:backWall>
    <c:plotArea>
      <c:layout>
        <c:manualLayout>
          <c:layoutTarget val="inner"/>
          <c:xMode val="edge"/>
          <c:yMode val="edge"/>
          <c:x val="0.11893203883495146"/>
          <c:y val="0.17568390338642223"/>
          <c:w val="0.85558252427184467"/>
          <c:h val="0.70738911562756213"/>
        </c:manualLayout>
      </c:layout>
      <c:bar3DChart>
        <c:barDir val="col"/>
        <c:grouping val="clustered"/>
        <c:varyColors val="0"/>
        <c:ser>
          <c:idx val="0"/>
          <c:order val="0"/>
          <c:spPr>
            <a:solidFill>
              <a:srgbClr val="9999FF"/>
            </a:solidFill>
            <a:ln w="12700">
              <a:solidFill>
                <a:srgbClr val="000000"/>
              </a:solidFill>
              <a:prstDash val="solid"/>
            </a:ln>
          </c:spPr>
          <c:invertIfNegative val="0"/>
          <c:dLbls>
            <c:dLbl>
              <c:idx val="0"/>
              <c:layout>
                <c:manualLayout>
                  <c:x val="-8.2931987870454751E-4"/>
                  <c:y val="-2.7880960391016004E-2"/>
                </c:manualLayout>
              </c:layout>
              <c:showLegendKey val="0"/>
              <c:showVal val="1"/>
              <c:showCatName val="0"/>
              <c:showSerName val="0"/>
              <c:showPercent val="0"/>
              <c:showBubbleSize val="0"/>
            </c:dLbl>
            <c:dLbl>
              <c:idx val="1"/>
              <c:layout>
                <c:manualLayout>
                  <c:x val="-2.0429121117138743E-3"/>
                  <c:y val="-3.0750436910500951E-2"/>
                </c:manualLayout>
              </c:layout>
              <c:showLegendKey val="0"/>
              <c:showVal val="1"/>
              <c:showCatName val="0"/>
              <c:showSerName val="0"/>
              <c:showPercent val="0"/>
              <c:showBubbleSize val="0"/>
            </c:dLbl>
            <c:dLbl>
              <c:idx val="2"/>
              <c:layout>
                <c:manualLayout>
                  <c:x val="-4.61228754172697E-4"/>
                  <c:y val="-2.2991759537911195E-2"/>
                </c:manualLayout>
              </c:layout>
              <c:showLegendKey val="0"/>
              <c:showVal val="1"/>
              <c:showCatName val="0"/>
              <c:showSerName val="0"/>
              <c:showPercent val="0"/>
              <c:showBubbleSize val="0"/>
            </c:dLbl>
            <c:spPr>
              <a:noFill/>
              <a:ln w="25400">
                <a:noFill/>
              </a:ln>
            </c:spPr>
            <c:txPr>
              <a:bodyPr/>
              <a:lstStyle/>
              <a:p>
                <a:pPr>
                  <a:defRPr sz="11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(Лист1!$B$2;Лист1!$E$2;Лист1!$I$2)</c:f>
              <c:strCache>
                <c:ptCount val="3"/>
                <c:pt idx="0">
                  <c:v>2010г.</c:v>
                </c:pt>
                <c:pt idx="1">
                  <c:v>2011г.</c:v>
                </c:pt>
                <c:pt idx="2">
                  <c:v>2012г.</c:v>
                </c:pt>
              </c:strCache>
            </c:strRef>
          </c:cat>
          <c:val>
            <c:numRef>
              <c:f>(Лист1!$D$10;Лист1!$G$10;Лист1!$K$10)</c:f>
              <c:numCache>
                <c:formatCode>#,##0.0</c:formatCode>
                <c:ptCount val="3"/>
                <c:pt idx="0">
                  <c:v>7461.6758124112957</c:v>
                </c:pt>
                <c:pt idx="1">
                  <c:v>7856.3685403080171</c:v>
                </c:pt>
                <c:pt idx="2">
                  <c:v>8251.0338182165524</c:v>
                </c:pt>
              </c:numCache>
            </c:numRef>
          </c:val>
        </c:ser>
        <c:dLbls>
          <c:showLegendKey val="0"/>
          <c:showVal val="0"/>
          <c:showCatName val="0"/>
          <c:showSerName val="0"/>
          <c:showPercent val="0"/>
          <c:showBubbleSize val="0"/>
        </c:dLbls>
        <c:gapWidth val="150"/>
        <c:shape val="box"/>
        <c:axId val="203869568"/>
        <c:axId val="203957376"/>
        <c:axId val="0"/>
      </c:bar3DChart>
      <c:catAx>
        <c:axId val="20386956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Times New Roman" pitchFamily="18" charset="0"/>
                <a:ea typeface="Arial Cyr"/>
                <a:cs typeface="Times New Roman" pitchFamily="18" charset="0"/>
              </a:defRPr>
            </a:pPr>
            <a:endParaRPr lang="ru-RU"/>
          </a:p>
        </c:txPr>
        <c:crossAx val="203957376"/>
        <c:crosses val="autoZero"/>
        <c:auto val="1"/>
        <c:lblAlgn val="ctr"/>
        <c:lblOffset val="100"/>
        <c:tickLblSkip val="1"/>
        <c:tickMarkSkip val="1"/>
        <c:noMultiLvlLbl val="0"/>
      </c:catAx>
      <c:valAx>
        <c:axId val="203957376"/>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Руб.</a:t>
                </a:r>
              </a:p>
            </c:rich>
          </c:tx>
          <c:layout>
            <c:manualLayout>
              <c:xMode val="edge"/>
              <c:yMode val="edge"/>
              <c:x val="1.820388349514563E-2"/>
              <c:y val="0.53577753042649778"/>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03869568"/>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роста штатной численности бюджетного сектора</a:t>
            </a:r>
          </a:p>
        </c:rich>
      </c:tx>
      <c:layout>
        <c:manualLayout>
          <c:xMode val="edge"/>
          <c:yMode val="edge"/>
          <c:x val="0.19705225611450783"/>
          <c:y val="2.2427841376106358E-3"/>
        </c:manualLayout>
      </c:layout>
      <c:overlay val="0"/>
      <c:spPr>
        <a:noFill/>
        <a:ln w="25400">
          <a:noFill/>
        </a:ln>
      </c:spPr>
    </c:title>
    <c:autoTitleDeleted val="0"/>
    <c:plotArea>
      <c:layout>
        <c:manualLayout>
          <c:layoutTarget val="inner"/>
          <c:xMode val="edge"/>
          <c:yMode val="edge"/>
          <c:x val="0.20969721791810833"/>
          <c:y val="0.15033796183649994"/>
          <c:w val="0.77333424873845735"/>
          <c:h val="0.73648709394060619"/>
        </c:manualLayout>
      </c:layout>
      <c:barChart>
        <c:barDir val="col"/>
        <c:grouping val="clustered"/>
        <c:varyColors val="0"/>
        <c:ser>
          <c:idx val="0"/>
          <c:order val="0"/>
          <c:spPr>
            <a:gradFill flip="none" rotWithShape="1">
              <a:gsLst>
                <a:gs pos="73000">
                  <a:srgbClr val="C7C9E4">
                    <a:lumMod val="69000"/>
                  </a:srgbClr>
                </a:gs>
                <a:gs pos="26000">
                  <a:schemeClr val="accent4">
                    <a:lumMod val="40000"/>
                    <a:lumOff val="60000"/>
                  </a:schemeClr>
                </a:gs>
                <a:gs pos="50000">
                  <a:schemeClr val="accent1">
                    <a:tint val="44500"/>
                    <a:satMod val="160000"/>
                  </a:schemeClr>
                </a:gs>
                <a:gs pos="100000">
                  <a:schemeClr val="accent1">
                    <a:tint val="23500"/>
                    <a:satMod val="160000"/>
                  </a:schemeClr>
                </a:gs>
              </a:gsLst>
              <a:path path="rect">
                <a:fillToRect l="100000" t="100000"/>
              </a:path>
              <a:tileRect r="-100000" b="-100000"/>
            </a:gradFill>
            <a:effectLst>
              <a:outerShdw blurRad="215900" dist="152400" dir="6300000" sx="106000" sy="106000" algn="ctr" rotWithShape="0">
                <a:srgbClr val="000000"/>
              </a:outerShdw>
            </a:effectLst>
          </c:spPr>
          <c:invertIfNegative val="0"/>
          <c:dLbls>
            <c:dLbl>
              <c:idx val="2"/>
              <c:layout>
                <c:manualLayout>
                  <c:x val="-8.877690288713885E-3"/>
                  <c:y val="-4.2085195431652176E-3"/>
                </c:manualLayout>
              </c:layout>
              <c:dLblPos val="outEnd"/>
              <c:showLegendKey val="0"/>
              <c:showVal val="1"/>
              <c:showCatName val="0"/>
              <c:showSerName val="0"/>
              <c:showPercent val="0"/>
              <c:showBubbleSize val="0"/>
            </c:dLbl>
            <c:spPr>
              <a:noFill/>
              <a:ln w="25400">
                <a:noFill/>
              </a:ln>
            </c:spPr>
            <c:txPr>
              <a:bodyPr/>
              <a:lstStyle/>
              <a:p>
                <a:pPr>
                  <a:defRPr sz="11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(Лист1!$B$2;Лист1!$E$2;Лист1!$I$2)</c:f>
              <c:strCache>
                <c:ptCount val="3"/>
                <c:pt idx="0">
                  <c:v>2010г.</c:v>
                </c:pt>
                <c:pt idx="1">
                  <c:v>2011г.</c:v>
                </c:pt>
                <c:pt idx="2">
                  <c:v>2012г.</c:v>
                </c:pt>
              </c:strCache>
            </c:strRef>
          </c:cat>
          <c:val>
            <c:numRef>
              <c:f>(Лист1!$B$10;Лист1!$E$10;Лист1!$I$10)</c:f>
              <c:numCache>
                <c:formatCode>#,##0</c:formatCode>
                <c:ptCount val="3"/>
                <c:pt idx="0">
                  <c:v>108976</c:v>
                </c:pt>
                <c:pt idx="1">
                  <c:v>115924</c:v>
                </c:pt>
                <c:pt idx="2">
                  <c:v>118654</c:v>
                </c:pt>
              </c:numCache>
            </c:numRef>
          </c:val>
        </c:ser>
        <c:dLbls>
          <c:showLegendKey val="0"/>
          <c:showVal val="0"/>
          <c:showCatName val="0"/>
          <c:showSerName val="0"/>
          <c:showPercent val="0"/>
          <c:showBubbleSize val="0"/>
        </c:dLbls>
        <c:gapWidth val="150"/>
        <c:axId val="204015104"/>
        <c:axId val="204016640"/>
      </c:barChart>
      <c:catAx>
        <c:axId val="20401510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04016640"/>
        <c:crosses val="autoZero"/>
        <c:auto val="1"/>
        <c:lblAlgn val="ctr"/>
        <c:lblOffset val="100"/>
        <c:tickLblSkip val="1"/>
        <c:tickMarkSkip val="1"/>
        <c:noMultiLvlLbl val="0"/>
      </c:catAx>
      <c:valAx>
        <c:axId val="204016640"/>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Шт. единиц</a:t>
                </a:r>
              </a:p>
            </c:rich>
          </c:tx>
          <c:layout>
            <c:manualLayout>
              <c:xMode val="edge"/>
              <c:yMode val="edge"/>
              <c:x val="1.9393939393939394E-2"/>
              <c:y val="0.4222976519826913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04015104"/>
        <c:crosses val="autoZero"/>
        <c:crossBetween val="between"/>
      </c:valAx>
      <c:spPr>
        <a:solidFill>
          <a:srgbClr val="C0C0C0"/>
        </a:solidFill>
        <a:ln w="12700">
          <a:solidFill>
            <a:srgbClr val="808080"/>
          </a:solidFill>
          <a:prstDash val="solid"/>
        </a:ln>
      </c:spPr>
    </c:plotArea>
    <c:plotVisOnly val="1"/>
    <c:dispBlanksAs val="gap"/>
    <c:showDLblsOverMax val="0"/>
  </c:chart>
  <c:spPr>
    <a:solidFill>
      <a:srgbClr val="FFFFFF"/>
    </a:solidFill>
    <a:ln w="3175">
      <a:noFill/>
      <a:prstDash val="solid"/>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3072720305566196E-2"/>
          <c:y val="0.11534392558643752"/>
          <c:w val="0.92404272949551602"/>
          <c:h val="0.56931418866759298"/>
        </c:manualLayout>
      </c:layout>
      <c:lineChart>
        <c:grouping val="standard"/>
        <c:varyColors val="0"/>
        <c:ser>
          <c:idx val="1"/>
          <c:order val="0"/>
          <c:tx>
            <c:strRef>
              <c:f>Лист1!$C$1</c:f>
              <c:strCache>
                <c:ptCount val="1"/>
                <c:pt idx="0">
                  <c:v>Доля налоговых и неналоговых доходов в доходах консолидированного бюджета Чеченской Республики</c:v>
                </c:pt>
              </c:strCache>
            </c:strRef>
          </c:tx>
          <c:cat>
            <c:numRef>
              <c:f>Лист1!$A$2:$A$10</c:f>
              <c:numCache>
                <c:formatCode>General</c:formatCode>
                <c:ptCount val="9"/>
                <c:pt idx="0">
                  <c:v>2004</c:v>
                </c:pt>
                <c:pt idx="1">
                  <c:v>2005</c:v>
                </c:pt>
                <c:pt idx="2">
                  <c:v>2006</c:v>
                </c:pt>
                <c:pt idx="3">
                  <c:v>2007</c:v>
                </c:pt>
                <c:pt idx="4">
                  <c:v>2008</c:v>
                </c:pt>
                <c:pt idx="5">
                  <c:v>2009</c:v>
                </c:pt>
                <c:pt idx="6">
                  <c:v>2010</c:v>
                </c:pt>
                <c:pt idx="7">
                  <c:v>2011</c:v>
                </c:pt>
                <c:pt idx="8">
                  <c:v>2012</c:v>
                </c:pt>
              </c:numCache>
            </c:numRef>
          </c:cat>
          <c:val>
            <c:numRef>
              <c:f>Лист1!$C$2:$C$10</c:f>
              <c:numCache>
                <c:formatCode>General</c:formatCode>
                <c:ptCount val="9"/>
                <c:pt idx="0">
                  <c:v>7.11</c:v>
                </c:pt>
                <c:pt idx="1">
                  <c:v>9.85</c:v>
                </c:pt>
                <c:pt idx="2">
                  <c:v>11.32</c:v>
                </c:pt>
                <c:pt idx="3">
                  <c:v>7.37</c:v>
                </c:pt>
                <c:pt idx="4">
                  <c:v>9.32</c:v>
                </c:pt>
                <c:pt idx="5">
                  <c:v>9.36</c:v>
                </c:pt>
                <c:pt idx="6">
                  <c:v>13.39</c:v>
                </c:pt>
                <c:pt idx="7">
                  <c:v>13.12</c:v>
                </c:pt>
                <c:pt idx="8">
                  <c:v>14.88</c:v>
                </c:pt>
              </c:numCache>
            </c:numRef>
          </c:val>
          <c:smooth val="0"/>
        </c:ser>
        <c:ser>
          <c:idx val="2"/>
          <c:order val="1"/>
          <c:tx>
            <c:strRef>
              <c:f>Лист1!$D$1</c:f>
              <c:strCache>
                <c:ptCount val="1"/>
                <c:pt idx="0">
                  <c:v>Столбец1</c:v>
                </c:pt>
              </c:strCache>
            </c:strRef>
          </c:tx>
          <c:cat>
            <c:numRef>
              <c:f>Лист1!$A$2:$A$10</c:f>
              <c:numCache>
                <c:formatCode>General</c:formatCode>
                <c:ptCount val="9"/>
                <c:pt idx="0">
                  <c:v>2004</c:v>
                </c:pt>
                <c:pt idx="1">
                  <c:v>2005</c:v>
                </c:pt>
                <c:pt idx="2">
                  <c:v>2006</c:v>
                </c:pt>
                <c:pt idx="3">
                  <c:v>2007</c:v>
                </c:pt>
                <c:pt idx="4">
                  <c:v>2008</c:v>
                </c:pt>
                <c:pt idx="5">
                  <c:v>2009</c:v>
                </c:pt>
                <c:pt idx="6">
                  <c:v>2010</c:v>
                </c:pt>
                <c:pt idx="7">
                  <c:v>2011</c:v>
                </c:pt>
                <c:pt idx="8">
                  <c:v>2012</c:v>
                </c:pt>
              </c:numCache>
            </c:numRef>
          </c:cat>
          <c:val>
            <c:numRef>
              <c:f>Лист1!$D$2:$D$10</c:f>
              <c:numCache>
                <c:formatCode>General</c:formatCode>
                <c:ptCount val="9"/>
              </c:numCache>
            </c:numRef>
          </c:val>
          <c:smooth val="0"/>
        </c:ser>
        <c:dLbls>
          <c:showLegendKey val="0"/>
          <c:showVal val="0"/>
          <c:showCatName val="0"/>
          <c:showSerName val="0"/>
          <c:showPercent val="0"/>
          <c:showBubbleSize val="0"/>
        </c:dLbls>
        <c:marker val="1"/>
        <c:smooth val="0"/>
        <c:axId val="204070272"/>
        <c:axId val="204215424"/>
      </c:lineChart>
      <c:catAx>
        <c:axId val="204070272"/>
        <c:scaling>
          <c:orientation val="minMax"/>
        </c:scaling>
        <c:delete val="0"/>
        <c:axPos val="b"/>
        <c:numFmt formatCode="General" sourceLinked="1"/>
        <c:majorTickMark val="out"/>
        <c:minorTickMark val="none"/>
        <c:tickLblPos val="nextTo"/>
        <c:crossAx val="204215424"/>
        <c:crosses val="autoZero"/>
        <c:auto val="1"/>
        <c:lblAlgn val="ctr"/>
        <c:lblOffset val="100"/>
        <c:noMultiLvlLbl val="0"/>
      </c:catAx>
      <c:valAx>
        <c:axId val="204215424"/>
        <c:scaling>
          <c:orientation val="minMax"/>
        </c:scaling>
        <c:delete val="0"/>
        <c:axPos val="l"/>
        <c:majorGridlines/>
        <c:numFmt formatCode="General" sourceLinked="1"/>
        <c:majorTickMark val="out"/>
        <c:minorTickMark val="none"/>
        <c:tickLblPos val="nextTo"/>
        <c:crossAx val="204070272"/>
        <c:crosses val="autoZero"/>
        <c:crossBetween val="between"/>
      </c:valAx>
    </c:plotArea>
    <c:legend>
      <c:legendPos val="b"/>
      <c:legendEntry>
        <c:idx val="0"/>
        <c:txPr>
          <a:bodyPr/>
          <a:lstStyle/>
          <a:p>
            <a:pPr>
              <a:defRPr sz="800"/>
            </a:pPr>
            <a:endParaRPr lang="ru-RU"/>
          </a:p>
        </c:txPr>
      </c:legendEntry>
      <c:legendEntry>
        <c:idx val="1"/>
        <c:delete val="1"/>
      </c:legendEntry>
      <c:layout>
        <c:manualLayout>
          <c:xMode val="edge"/>
          <c:yMode val="edge"/>
          <c:x val="1.265786185569469E-2"/>
          <c:y val="0.81962326755265102"/>
          <c:w val="0.97897889137484184"/>
          <c:h val="0.15476162262710527"/>
        </c:manualLayout>
      </c:layout>
      <c:overlay val="1"/>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Лист1!$B$1</c:f>
              <c:strCache>
                <c:ptCount val="1"/>
                <c:pt idx="0">
                  <c:v>Прогноз роста налогового потенциала Чеченской Республики по годпм к уровню 2010 года</c:v>
                </c:pt>
              </c:strCache>
            </c:strRef>
          </c:tx>
          <c:cat>
            <c:strRef>
              <c:f>Лист1!$A$2:$A$16</c:f>
              <c:strCache>
                <c:ptCount val="15"/>
                <c:pt idx="0">
                  <c:v>2010 (факт)</c:v>
                </c:pt>
                <c:pt idx="1">
                  <c:v>2012 (факт)</c:v>
                </c:pt>
                <c:pt idx="2">
                  <c:v>2013 (прогноз)</c:v>
                </c:pt>
                <c:pt idx="3">
                  <c:v>2014 (прогноз)</c:v>
                </c:pt>
                <c:pt idx="4">
                  <c:v>2015 (прогноз)</c:v>
                </c:pt>
                <c:pt idx="5">
                  <c:v>2016 (прогноз)</c:v>
                </c:pt>
                <c:pt idx="6">
                  <c:v>2017 (прогноз)</c:v>
                </c:pt>
                <c:pt idx="7">
                  <c:v>2018 (прогноз)</c:v>
                </c:pt>
                <c:pt idx="8">
                  <c:v>2019 (прогноз)</c:v>
                </c:pt>
                <c:pt idx="9">
                  <c:v>2020 (прогноз)</c:v>
                </c:pt>
                <c:pt idx="10">
                  <c:v>2021 (прогноз)</c:v>
                </c:pt>
                <c:pt idx="11">
                  <c:v>2022 (прогноз)</c:v>
                </c:pt>
                <c:pt idx="12">
                  <c:v>2023 (прогноз)</c:v>
                </c:pt>
                <c:pt idx="13">
                  <c:v>2024 (прогноз)</c:v>
                </c:pt>
                <c:pt idx="14">
                  <c:v>2025 (прогноз)</c:v>
                </c:pt>
              </c:strCache>
            </c:strRef>
          </c:cat>
          <c:val>
            <c:numRef>
              <c:f>Лист1!$B$2:$B$16</c:f>
              <c:numCache>
                <c:formatCode>General</c:formatCode>
                <c:ptCount val="15"/>
                <c:pt idx="0">
                  <c:v>14.4</c:v>
                </c:pt>
                <c:pt idx="1">
                  <c:v>17.600000000000001</c:v>
                </c:pt>
                <c:pt idx="2">
                  <c:v>25</c:v>
                </c:pt>
                <c:pt idx="3">
                  <c:v>35</c:v>
                </c:pt>
                <c:pt idx="4">
                  <c:v>45</c:v>
                </c:pt>
                <c:pt idx="5">
                  <c:v>55</c:v>
                </c:pt>
                <c:pt idx="6">
                  <c:v>65</c:v>
                </c:pt>
                <c:pt idx="7">
                  <c:v>72</c:v>
                </c:pt>
                <c:pt idx="8">
                  <c:v>79</c:v>
                </c:pt>
                <c:pt idx="9">
                  <c:v>86</c:v>
                </c:pt>
                <c:pt idx="10">
                  <c:v>93</c:v>
                </c:pt>
                <c:pt idx="11">
                  <c:v>100</c:v>
                </c:pt>
                <c:pt idx="12">
                  <c:v>107</c:v>
                </c:pt>
                <c:pt idx="13">
                  <c:v>113</c:v>
                </c:pt>
                <c:pt idx="14">
                  <c:v>120</c:v>
                </c:pt>
              </c:numCache>
            </c:numRef>
          </c:val>
          <c:smooth val="0"/>
        </c:ser>
        <c:ser>
          <c:idx val="1"/>
          <c:order val="1"/>
          <c:tx>
            <c:strRef>
              <c:f>Лист1!$C$1</c:f>
              <c:strCache>
                <c:ptCount val="1"/>
                <c:pt idx="0">
                  <c:v>Столбец1</c:v>
                </c:pt>
              </c:strCache>
            </c:strRef>
          </c:tx>
          <c:cat>
            <c:strRef>
              <c:f>Лист1!$A$2:$A$16</c:f>
              <c:strCache>
                <c:ptCount val="15"/>
                <c:pt idx="0">
                  <c:v>2010 (факт)</c:v>
                </c:pt>
                <c:pt idx="1">
                  <c:v>2012 (факт)</c:v>
                </c:pt>
                <c:pt idx="2">
                  <c:v>2013 (прогноз)</c:v>
                </c:pt>
                <c:pt idx="3">
                  <c:v>2014 (прогноз)</c:v>
                </c:pt>
                <c:pt idx="4">
                  <c:v>2015 (прогноз)</c:v>
                </c:pt>
                <c:pt idx="5">
                  <c:v>2016 (прогноз)</c:v>
                </c:pt>
                <c:pt idx="6">
                  <c:v>2017 (прогноз)</c:v>
                </c:pt>
                <c:pt idx="7">
                  <c:v>2018 (прогноз)</c:v>
                </c:pt>
                <c:pt idx="8">
                  <c:v>2019 (прогноз)</c:v>
                </c:pt>
                <c:pt idx="9">
                  <c:v>2020 (прогноз)</c:v>
                </c:pt>
                <c:pt idx="10">
                  <c:v>2021 (прогноз)</c:v>
                </c:pt>
                <c:pt idx="11">
                  <c:v>2022 (прогноз)</c:v>
                </c:pt>
                <c:pt idx="12">
                  <c:v>2023 (прогноз)</c:v>
                </c:pt>
                <c:pt idx="13">
                  <c:v>2024 (прогноз)</c:v>
                </c:pt>
                <c:pt idx="14">
                  <c:v>2025 (прогноз)</c:v>
                </c:pt>
              </c:strCache>
            </c:strRef>
          </c:cat>
          <c:val>
            <c:numRef>
              <c:f>Лист1!$C$2:$C$16</c:f>
              <c:numCache>
                <c:formatCode>General</c:formatCode>
                <c:ptCount val="15"/>
              </c:numCache>
            </c:numRef>
          </c:val>
          <c:smooth val="0"/>
        </c:ser>
        <c:ser>
          <c:idx val="2"/>
          <c:order val="2"/>
          <c:tx>
            <c:strRef>
              <c:f>Лист1!$D$1</c:f>
              <c:strCache>
                <c:ptCount val="1"/>
                <c:pt idx="0">
                  <c:v>Прогноз роста налоговых доходов консолидированного бюджета Чеченской Республики </c:v>
                </c:pt>
              </c:strCache>
            </c:strRef>
          </c:tx>
          <c:cat>
            <c:strRef>
              <c:f>Лист1!$A$2:$A$16</c:f>
              <c:strCache>
                <c:ptCount val="15"/>
                <c:pt idx="0">
                  <c:v>2010 (факт)</c:v>
                </c:pt>
                <c:pt idx="1">
                  <c:v>2012 (факт)</c:v>
                </c:pt>
                <c:pt idx="2">
                  <c:v>2013 (прогноз)</c:v>
                </c:pt>
                <c:pt idx="3">
                  <c:v>2014 (прогноз)</c:v>
                </c:pt>
                <c:pt idx="4">
                  <c:v>2015 (прогноз)</c:v>
                </c:pt>
                <c:pt idx="5">
                  <c:v>2016 (прогноз)</c:v>
                </c:pt>
                <c:pt idx="6">
                  <c:v>2017 (прогноз)</c:v>
                </c:pt>
                <c:pt idx="7">
                  <c:v>2018 (прогноз)</c:v>
                </c:pt>
                <c:pt idx="8">
                  <c:v>2019 (прогноз)</c:v>
                </c:pt>
                <c:pt idx="9">
                  <c:v>2020 (прогноз)</c:v>
                </c:pt>
                <c:pt idx="10">
                  <c:v>2021 (прогноз)</c:v>
                </c:pt>
                <c:pt idx="11">
                  <c:v>2022 (прогноз)</c:v>
                </c:pt>
                <c:pt idx="12">
                  <c:v>2023 (прогноз)</c:v>
                </c:pt>
                <c:pt idx="13">
                  <c:v>2024 (прогноз)</c:v>
                </c:pt>
                <c:pt idx="14">
                  <c:v>2025 (прогноз)</c:v>
                </c:pt>
              </c:strCache>
            </c:strRef>
          </c:cat>
          <c:val>
            <c:numRef>
              <c:f>Лист1!$D$2:$D$16</c:f>
              <c:numCache>
                <c:formatCode>General</c:formatCode>
                <c:ptCount val="15"/>
                <c:pt idx="0">
                  <c:v>8.5</c:v>
                </c:pt>
                <c:pt idx="1">
                  <c:v>11.3</c:v>
                </c:pt>
                <c:pt idx="2">
                  <c:v>16.3</c:v>
                </c:pt>
                <c:pt idx="3">
                  <c:v>22.8</c:v>
                </c:pt>
                <c:pt idx="4">
                  <c:v>29.3</c:v>
                </c:pt>
                <c:pt idx="5">
                  <c:v>35.799999999999997</c:v>
                </c:pt>
                <c:pt idx="6">
                  <c:v>42.3</c:v>
                </c:pt>
                <c:pt idx="7">
                  <c:v>46.8</c:v>
                </c:pt>
                <c:pt idx="8">
                  <c:v>51.4</c:v>
                </c:pt>
                <c:pt idx="9">
                  <c:v>55.9</c:v>
                </c:pt>
                <c:pt idx="10">
                  <c:v>60.5</c:v>
                </c:pt>
                <c:pt idx="11">
                  <c:v>65</c:v>
                </c:pt>
                <c:pt idx="12">
                  <c:v>69.900000000000006</c:v>
                </c:pt>
                <c:pt idx="13">
                  <c:v>73.5</c:v>
                </c:pt>
                <c:pt idx="14">
                  <c:v>78</c:v>
                </c:pt>
              </c:numCache>
            </c:numRef>
          </c:val>
          <c:smooth val="0"/>
        </c:ser>
        <c:dLbls>
          <c:showLegendKey val="0"/>
          <c:showVal val="0"/>
          <c:showCatName val="0"/>
          <c:showSerName val="0"/>
          <c:showPercent val="0"/>
          <c:showBubbleSize val="0"/>
        </c:dLbls>
        <c:marker val="1"/>
        <c:smooth val="0"/>
        <c:axId val="204229632"/>
        <c:axId val="204317440"/>
      </c:lineChart>
      <c:catAx>
        <c:axId val="204229632"/>
        <c:scaling>
          <c:orientation val="minMax"/>
        </c:scaling>
        <c:delete val="0"/>
        <c:axPos val="b"/>
        <c:numFmt formatCode="General" sourceLinked="1"/>
        <c:majorTickMark val="out"/>
        <c:minorTickMark val="none"/>
        <c:tickLblPos val="nextTo"/>
        <c:txPr>
          <a:bodyPr/>
          <a:lstStyle/>
          <a:p>
            <a:pPr>
              <a:defRPr sz="900"/>
            </a:pPr>
            <a:endParaRPr lang="ru-RU"/>
          </a:p>
        </c:txPr>
        <c:crossAx val="204317440"/>
        <c:crosses val="autoZero"/>
        <c:auto val="1"/>
        <c:lblAlgn val="ctr"/>
        <c:lblOffset val="100"/>
        <c:noMultiLvlLbl val="0"/>
      </c:catAx>
      <c:valAx>
        <c:axId val="204317440"/>
        <c:scaling>
          <c:orientation val="minMax"/>
        </c:scaling>
        <c:delete val="0"/>
        <c:axPos val="l"/>
        <c:majorGridlines/>
        <c:numFmt formatCode="General" sourceLinked="1"/>
        <c:majorTickMark val="out"/>
        <c:minorTickMark val="none"/>
        <c:tickLblPos val="nextTo"/>
        <c:crossAx val="204229632"/>
        <c:crosses val="autoZero"/>
        <c:crossBetween val="between"/>
      </c:valAx>
    </c:plotArea>
    <c:legend>
      <c:legendPos val="b"/>
      <c:legendEntry>
        <c:idx val="1"/>
        <c:delete val="1"/>
      </c:legendEntry>
      <c:layout>
        <c:manualLayout>
          <c:xMode val="edge"/>
          <c:yMode val="edge"/>
          <c:x val="1.8259678903468413E-2"/>
          <c:y val="0.84502239152291503"/>
          <c:w val="0.96800016841647285"/>
          <c:h val="0.13734940260740136"/>
        </c:manualLayout>
      </c:layout>
      <c:overlay val="0"/>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25" b="1" i="0" u="none" strike="noStrike" baseline="0">
                <a:solidFill>
                  <a:srgbClr val="000000"/>
                </a:solidFill>
                <a:latin typeface="Times New Roman"/>
                <a:ea typeface="Times New Roman"/>
                <a:cs typeface="Times New Roman"/>
              </a:defRPr>
            </a:pPr>
            <a:r>
              <a:rPr lang="ru-RU"/>
              <a:t>Динамика роста доходов консолидированного бюджета</a:t>
            </a:r>
          </a:p>
        </c:rich>
      </c:tx>
      <c:layout>
        <c:manualLayout>
          <c:xMode val="edge"/>
          <c:yMode val="edge"/>
          <c:x val="0.16618907930626317"/>
          <c:y val="3.0434782608695653E-2"/>
        </c:manualLayout>
      </c:layout>
      <c:overlay val="0"/>
      <c:spPr>
        <a:noFill/>
        <a:ln w="25400">
          <a:noFill/>
        </a:ln>
      </c:spPr>
    </c:title>
    <c:autoTitleDeleted val="0"/>
    <c:plotArea>
      <c:layout>
        <c:manualLayout>
          <c:layoutTarget val="inner"/>
          <c:xMode val="edge"/>
          <c:yMode val="edge"/>
          <c:x val="0.163323782234957"/>
          <c:y val="0.16304365132860407"/>
          <c:w val="0.49713467048710602"/>
          <c:h val="0.73913121935633863"/>
        </c:manualLayout>
      </c:layout>
      <c:lineChart>
        <c:grouping val="standard"/>
        <c:varyColors val="0"/>
        <c:ser>
          <c:idx val="0"/>
          <c:order val="0"/>
          <c:tx>
            <c:strRef>
              <c:f>Лист1!$A$35</c:f>
              <c:strCache>
                <c:ptCount val="1"/>
                <c:pt idx="0">
                  <c:v>Всего доходов</c:v>
                </c:pt>
              </c:strCache>
            </c:strRef>
          </c:tx>
          <c:spPr>
            <a:ln w="38100">
              <a:solidFill>
                <a:srgbClr val="000080"/>
              </a:solidFill>
              <a:prstDash val="solid"/>
            </a:ln>
          </c:spPr>
          <c:marker>
            <c:symbol val="diamond"/>
            <c:size val="9"/>
            <c:spPr>
              <a:solidFill>
                <a:srgbClr val="000080"/>
              </a:solidFill>
              <a:ln>
                <a:solidFill>
                  <a:srgbClr val="000080"/>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(Лист1!$D$45;Лист1!$D$40;Лист1!$D$35;Лист1!$D$30;Лист1!$D$25;Лист1!$D$20;Лист1!$D$15;Лист1!$D$10;Лист1!$D$5)</c:f>
              <c:numCache>
                <c:formatCode>#,##0.0</c:formatCode>
                <c:ptCount val="9"/>
                <c:pt idx="0">
                  <c:v>25038037</c:v>
                </c:pt>
                <c:pt idx="1">
                  <c:v>16753272.39174</c:v>
                </c:pt>
                <c:pt idx="2">
                  <c:v>31625051.899999999</c:v>
                </c:pt>
                <c:pt idx="3">
                  <c:v>63580969.658670001</c:v>
                </c:pt>
                <c:pt idx="4">
                  <c:v>64744181.777619995</c:v>
                </c:pt>
                <c:pt idx="5">
                  <c:v>65447464.819410004</c:v>
                </c:pt>
                <c:pt idx="6">
                  <c:v>64832769.299610004</c:v>
                </c:pt>
                <c:pt idx="7">
                  <c:v>78917147.609849989</c:v>
                </c:pt>
                <c:pt idx="8">
                  <c:v>78303356.204009995</c:v>
                </c:pt>
              </c:numCache>
            </c:numRef>
          </c:val>
          <c:smooth val="1"/>
        </c:ser>
        <c:ser>
          <c:idx val="1"/>
          <c:order val="1"/>
          <c:tx>
            <c:strRef>
              <c:f>Лист1!$A$36</c:f>
              <c:strCache>
                <c:ptCount val="1"/>
                <c:pt idx="0">
                  <c:v>Налоговые доходы</c:v>
                </c:pt>
              </c:strCache>
            </c:strRef>
          </c:tx>
          <c:spPr>
            <a:ln w="38100">
              <a:solidFill>
                <a:srgbClr val="FF00FF"/>
              </a:solidFill>
              <a:prstDash val="solid"/>
            </a:ln>
          </c:spPr>
          <c:marker>
            <c:symbol val="square"/>
            <c:size val="9"/>
            <c:spPr>
              <a:solidFill>
                <a:srgbClr val="FF00FF"/>
              </a:solidFill>
              <a:ln>
                <a:solidFill>
                  <a:srgbClr val="FF00FF"/>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(Лист1!$D$46;Лист1!$D$41;Лист1!$D$36;Лист1!$D$31;Лист1!$D$26;Лист1!$D$21;Лист1!$D$16;Лист1!$D$11;Лист1!$D$6)</c:f>
              <c:numCache>
                <c:formatCode>#,##0.0</c:formatCode>
                <c:ptCount val="9"/>
                <c:pt idx="0">
                  <c:v>1707175</c:v>
                </c:pt>
                <c:pt idx="1">
                  <c:v>2167593.10207</c:v>
                </c:pt>
                <c:pt idx="2">
                  <c:v>3436209.2</c:v>
                </c:pt>
                <c:pt idx="3">
                  <c:v>4514721.2</c:v>
                </c:pt>
                <c:pt idx="4">
                  <c:v>5612914.1218699999</c:v>
                </c:pt>
                <c:pt idx="5">
                  <c:v>6121123.8360000001</c:v>
                </c:pt>
                <c:pt idx="6">
                  <c:v>8665671.2729400005</c:v>
                </c:pt>
                <c:pt idx="7">
                  <c:v>9903529.0346700009</c:v>
                </c:pt>
                <c:pt idx="8">
                  <c:v>11261277.754450001</c:v>
                </c:pt>
              </c:numCache>
            </c:numRef>
          </c:val>
          <c:smooth val="1"/>
        </c:ser>
        <c:ser>
          <c:idx val="2"/>
          <c:order val="2"/>
          <c:tx>
            <c:strRef>
              <c:f>Лист1!$A$37</c:f>
              <c:strCache>
                <c:ptCount val="1"/>
                <c:pt idx="0">
                  <c:v>Неналоговые доходы</c:v>
                </c:pt>
              </c:strCache>
            </c:strRef>
          </c:tx>
          <c:spPr>
            <a:ln w="38100">
              <a:solidFill>
                <a:srgbClr val="FFFF00"/>
              </a:solidFill>
              <a:prstDash val="solid"/>
            </a:ln>
          </c:spPr>
          <c:marker>
            <c:symbol val="triangle"/>
            <c:size val="9"/>
            <c:spPr>
              <a:solidFill>
                <a:srgbClr val="FFFF00"/>
              </a:solidFill>
              <a:ln>
                <a:solidFill>
                  <a:srgbClr val="FFFF00"/>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(Лист1!$D$47;Лист1!$D$42;Лист1!$D$37;Лист1!$D$32;Лист1!$D$27;Лист1!$D$22;Лист1!$D$17;Лист1!$D$12;Лист1!$D$7)</c:f>
              <c:numCache>
                <c:formatCode>#,##0.0</c:formatCode>
                <c:ptCount val="9"/>
                <c:pt idx="0">
                  <c:v>73800</c:v>
                </c:pt>
                <c:pt idx="1">
                  <c:v>34790.400520000003</c:v>
                </c:pt>
                <c:pt idx="2">
                  <c:v>99829.8</c:v>
                </c:pt>
                <c:pt idx="3">
                  <c:v>186016.49696000014</c:v>
                </c:pt>
                <c:pt idx="4">
                  <c:v>478555.22420999967</c:v>
                </c:pt>
                <c:pt idx="5">
                  <c:v>174336.31599999999</c:v>
                </c:pt>
                <c:pt idx="6">
                  <c:v>23841.98444</c:v>
                </c:pt>
                <c:pt idx="7">
                  <c:v>450840.02516999998</c:v>
                </c:pt>
                <c:pt idx="8">
                  <c:v>389328.47262000002</c:v>
                </c:pt>
              </c:numCache>
            </c:numRef>
          </c:val>
          <c:smooth val="1"/>
        </c:ser>
        <c:ser>
          <c:idx val="3"/>
          <c:order val="3"/>
          <c:tx>
            <c:strRef>
              <c:f>Лист1!$A$38</c:f>
              <c:strCache>
                <c:ptCount val="1"/>
                <c:pt idx="0">
                  <c:v>Безвозмездные и безвозвратные поступления</c:v>
                </c:pt>
              </c:strCache>
            </c:strRef>
          </c:tx>
          <c:spPr>
            <a:ln w="38100">
              <a:solidFill>
                <a:srgbClr val="00FFFF"/>
              </a:solidFill>
              <a:prstDash val="solid"/>
            </a:ln>
          </c:spPr>
          <c:marker>
            <c:symbol val="x"/>
            <c:size val="9"/>
            <c:spPr>
              <a:noFill/>
              <a:ln>
                <a:solidFill>
                  <a:srgbClr val="00FFFF"/>
                </a:solidFill>
                <a:prstDash val="solid"/>
              </a:ln>
            </c:spPr>
          </c:marker>
          <c:cat>
            <c:strRef>
              <c:f>(Лист1!$A$44;Лист1!$A$39;Лист1!$A$34;Лист1!$A$29;Лист1!$A$24;Лист1!$A$19;Лист1!$A$14;Лист1!$A$9;Лист1!$A$4)</c:f>
              <c:strCache>
                <c:ptCount val="9"/>
                <c:pt idx="0">
                  <c:v>2004г</c:v>
                </c:pt>
                <c:pt idx="1">
                  <c:v>2005г</c:v>
                </c:pt>
                <c:pt idx="2">
                  <c:v>2006г</c:v>
                </c:pt>
                <c:pt idx="3">
                  <c:v>2007г</c:v>
                </c:pt>
                <c:pt idx="4">
                  <c:v>2008г.</c:v>
                </c:pt>
                <c:pt idx="5">
                  <c:v>2009г.</c:v>
                </c:pt>
                <c:pt idx="6">
                  <c:v>2010г.</c:v>
                </c:pt>
                <c:pt idx="7">
                  <c:v>2011г.</c:v>
                </c:pt>
                <c:pt idx="8">
                  <c:v>2012г</c:v>
                </c:pt>
              </c:strCache>
            </c:strRef>
          </c:cat>
          <c:val>
            <c:numRef>
              <c:f>(Лист1!$D$48;Лист1!$D$43;Лист1!$D$38;Лист1!$D$33;Лист1!$D$28;Лист1!$D$23;Лист1!$D$18;Лист1!$D$13;Лист1!$D$8)</c:f>
              <c:numCache>
                <c:formatCode>#,##0.0</c:formatCode>
                <c:ptCount val="9"/>
                <c:pt idx="0">
                  <c:v>23257062</c:v>
                </c:pt>
                <c:pt idx="1">
                  <c:v>14550888.889149999</c:v>
                </c:pt>
                <c:pt idx="2">
                  <c:v>28089012.899999999</c:v>
                </c:pt>
                <c:pt idx="3">
                  <c:v>58880231.961709999</c:v>
                </c:pt>
                <c:pt idx="4">
                  <c:v>58652712.431539997</c:v>
                </c:pt>
                <c:pt idx="5">
                  <c:v>59152004.667410001</c:v>
                </c:pt>
                <c:pt idx="6">
                  <c:v>56143256.042230003</c:v>
                </c:pt>
                <c:pt idx="7">
                  <c:v>68562778.550009996</c:v>
                </c:pt>
                <c:pt idx="8">
                  <c:v>66652749.976939999</c:v>
                </c:pt>
              </c:numCache>
            </c:numRef>
          </c:val>
          <c:smooth val="1"/>
        </c:ser>
        <c:ser>
          <c:idx val="4"/>
          <c:order val="4"/>
          <c:tx>
            <c:strRef>
              <c:f>Лист1!$A$5</c:f>
              <c:strCache>
                <c:ptCount val="1"/>
                <c:pt idx="0">
                  <c:v>Всего доходов</c:v>
                </c:pt>
              </c:strCache>
            </c:strRef>
          </c:tx>
          <c:val>
            <c:numRef>
              <c:f>Лист1!$D$5</c:f>
              <c:numCache>
                <c:formatCode>#,##0.0</c:formatCode>
                <c:ptCount val="1"/>
                <c:pt idx="0">
                  <c:v>78303356.204009995</c:v>
                </c:pt>
              </c:numCache>
            </c:numRef>
          </c:val>
          <c:smooth val="0"/>
        </c:ser>
        <c:dLbls>
          <c:showLegendKey val="0"/>
          <c:showVal val="0"/>
          <c:showCatName val="0"/>
          <c:showSerName val="0"/>
          <c:showPercent val="0"/>
          <c:showBubbleSize val="0"/>
        </c:dLbls>
        <c:marker val="1"/>
        <c:smooth val="0"/>
        <c:axId val="204402688"/>
        <c:axId val="204404224"/>
      </c:lineChart>
      <c:catAx>
        <c:axId val="20440268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204404224"/>
        <c:crosses val="autoZero"/>
        <c:auto val="1"/>
        <c:lblAlgn val="ctr"/>
        <c:lblOffset val="100"/>
        <c:tickLblSkip val="1"/>
        <c:tickMarkSkip val="1"/>
        <c:noMultiLvlLbl val="0"/>
      </c:catAx>
      <c:valAx>
        <c:axId val="204404224"/>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a:ea typeface="Times New Roman"/>
                    <a:cs typeface="Times New Roman"/>
                  </a:defRPr>
                </a:pPr>
                <a:r>
                  <a:rPr lang="ru-RU"/>
                  <a:t>Тыс. руб.</a:t>
                </a:r>
              </a:p>
            </c:rich>
          </c:tx>
          <c:layout>
            <c:manualLayout>
              <c:xMode val="edge"/>
              <c:yMode val="edge"/>
              <c:x val="7.9859205515577757E-3"/>
              <c:y val="0.42904091725813759"/>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204402688"/>
        <c:crosses val="autoZero"/>
        <c:crossBetween val="between"/>
      </c:valAx>
      <c:spPr>
        <a:solidFill>
          <a:srgbClr val="FFFFFF"/>
        </a:solidFill>
        <a:ln w="12700">
          <a:solidFill>
            <a:srgbClr val="808080"/>
          </a:solidFill>
          <a:prstDash val="solid"/>
        </a:ln>
      </c:spPr>
    </c:plotArea>
    <c:legend>
      <c:legendPos val="r"/>
      <c:layout>
        <c:manualLayout>
          <c:xMode val="edge"/>
          <c:yMode val="edge"/>
          <c:x val="0.67579287883132255"/>
          <c:y val="0.37173958689946363"/>
          <c:w val="0.2992123043443099"/>
          <c:h val="0.3793632317699418"/>
        </c:manualLayout>
      </c:layout>
      <c:overlay val="0"/>
      <c:spPr>
        <a:solidFill>
          <a:srgbClr val="FFFFFF"/>
        </a:solidFill>
        <a:ln w="25400">
          <a:noFill/>
        </a:ln>
      </c:spPr>
      <c:txPr>
        <a:bodyPr/>
        <a:lstStyle/>
        <a:p>
          <a:pPr>
            <a:defRPr sz="84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9525">
      <a:noFill/>
    </a:ln>
  </c:spPr>
  <c:txPr>
    <a:bodyPr/>
    <a:lstStyle/>
    <a:p>
      <a:pPr>
        <a:defRPr sz="14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a:latin typeface="Times New Roman" pitchFamily="18" charset="0"/>
                <a:cs typeface="Times New Roman" pitchFamily="18" charset="0"/>
              </a:rPr>
              <a:t>Удельный вес наиболее значимых</a:t>
            </a:r>
            <a:r>
              <a:rPr lang="ru-RU" sz="1400" baseline="0">
                <a:latin typeface="Times New Roman" pitchFamily="18" charset="0"/>
                <a:cs typeface="Times New Roman" pitchFamily="18" charset="0"/>
              </a:rPr>
              <a:t> доходов в струкуре консолидированного бюджета ЧР в 2012 году</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1062045224037002"/>
          <c:y val="0.34845663711496405"/>
          <c:w val="0.65146827522739925"/>
          <c:h val="0.63374066181220401"/>
        </c:manualLayout>
      </c:layout>
      <c:pie3DChart>
        <c:varyColors val="1"/>
        <c:ser>
          <c:idx val="0"/>
          <c:order val="0"/>
          <c:explosion val="25"/>
          <c:dLbls>
            <c:dLbl>
              <c:idx val="0"/>
              <c:layout>
                <c:manualLayout>
                  <c:x val="0.2041762145001336"/>
                  <c:y val="4.3886844947364091E-2"/>
                </c:manualLayout>
              </c:layout>
              <c:showLegendKey val="0"/>
              <c:showVal val="0"/>
              <c:showCatName val="1"/>
              <c:showSerName val="0"/>
              <c:showPercent val="1"/>
              <c:showBubbleSize val="0"/>
            </c:dLbl>
            <c:dLbl>
              <c:idx val="1"/>
              <c:layout>
                <c:manualLayout>
                  <c:x val="-2.5830857969101166E-2"/>
                  <c:y val="4.9513860601734724E-2"/>
                </c:manualLayout>
              </c:layout>
              <c:showLegendKey val="0"/>
              <c:showVal val="0"/>
              <c:showCatName val="1"/>
              <c:showSerName val="0"/>
              <c:showPercent val="1"/>
              <c:showBubbleSize val="0"/>
            </c:dLbl>
            <c:dLbl>
              <c:idx val="2"/>
              <c:layout>
                <c:manualLayout>
                  <c:x val="-2.8353863570367441E-2"/>
                  <c:y val="1.7985548208763358E-2"/>
                </c:manualLayout>
              </c:layout>
              <c:tx>
                <c:rich>
                  <a:bodyPr/>
                  <a:lstStyle/>
                  <a:p>
                    <a:r>
                      <a:rPr lang="ru-RU"/>
                      <a:t>налоги на товары (работы, услуги), реализуемые на территории Российской Федерации
23%</a:t>
                    </a:r>
                  </a:p>
                </c:rich>
              </c:tx>
              <c:showLegendKey val="0"/>
              <c:showVal val="0"/>
              <c:showCatName val="1"/>
              <c:showSerName val="0"/>
              <c:showPercent val="1"/>
              <c:showBubbleSize val="0"/>
            </c:dLbl>
            <c:dLbl>
              <c:idx val="3"/>
              <c:layout>
                <c:manualLayout>
                  <c:x val="-0.17110051784067531"/>
                  <c:y val="-9.7022514573822952E-2"/>
                </c:manualLayout>
              </c:layout>
              <c:tx>
                <c:rich>
                  <a:bodyPr/>
                  <a:lstStyle/>
                  <a:p>
                    <a:r>
                      <a:rPr lang="ru-RU"/>
                      <a:t>налоги на совокупный доход
1%</a:t>
                    </a:r>
                  </a:p>
                </c:rich>
              </c:tx>
              <c:showLegendKey val="0"/>
              <c:showVal val="0"/>
              <c:showCatName val="1"/>
              <c:showSerName val="0"/>
              <c:showPercent val="1"/>
              <c:showBubbleSize val="0"/>
            </c:dLbl>
            <c:dLbl>
              <c:idx val="4"/>
              <c:layout>
                <c:manualLayout>
                  <c:x val="-0.10187200402344916"/>
                  <c:y val="-0.15718647348772202"/>
                </c:manualLayout>
              </c:layout>
              <c:tx>
                <c:rich>
                  <a:bodyPr/>
                  <a:lstStyle/>
                  <a:p>
                    <a:r>
                      <a:rPr lang="ru-RU"/>
                      <a:t>налоги на имущество
6%</a:t>
                    </a:r>
                  </a:p>
                </c:rich>
              </c:tx>
              <c:showLegendKey val="0"/>
              <c:showVal val="0"/>
              <c:showCatName val="1"/>
              <c:showSerName val="0"/>
              <c:showPercent val="1"/>
              <c:showBubbleSize val="0"/>
            </c:dLbl>
            <c:dLbl>
              <c:idx val="5"/>
              <c:layout>
                <c:manualLayout>
                  <c:x val="7.5983780470554957E-2"/>
                  <c:y val="-3.4853536901189489E-2"/>
                </c:manualLayout>
              </c:layout>
              <c:tx>
                <c:rich>
                  <a:bodyPr/>
                  <a:lstStyle/>
                  <a:p>
                    <a:r>
                      <a:rPr lang="ru-RU"/>
                      <a:t>доходы от использования имущества, находящегося в государственной и муниципальной собственности
1%</a:t>
                    </a:r>
                  </a:p>
                </c:rich>
              </c:tx>
              <c:showLegendKey val="0"/>
              <c:showVal val="0"/>
              <c:showCatName val="1"/>
              <c:showSerName val="0"/>
              <c:showPercent val="1"/>
              <c:showBubbleSize val="0"/>
            </c:dLbl>
            <c:dLbl>
              <c:idx val="6"/>
              <c:layout>
                <c:manualLayout>
                  <c:x val="0.33423166116513126"/>
                  <c:y val="-0.11468110358866272"/>
                </c:manualLayout>
              </c:layout>
              <c:tx>
                <c:rich>
                  <a:bodyPr/>
                  <a:lstStyle/>
                  <a:p>
                    <a:r>
                      <a:rPr lang="ru-RU"/>
                      <a:t>доходы от оказания платных услуг и компенсации затрат государства
1%</a:t>
                    </a:r>
                  </a:p>
                </c:rich>
              </c:tx>
              <c:showLegendKey val="0"/>
              <c:showVal val="0"/>
              <c:showCatName val="1"/>
              <c:showSerName val="0"/>
              <c:showPercent val="1"/>
              <c:showBubbleSize val="0"/>
            </c:dLbl>
            <c:txPr>
              <a:bodyPr/>
              <a:lstStyle/>
              <a:p>
                <a:pPr>
                  <a:defRPr sz="900"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Лист1!$I$9:$I$15</c:f>
              <c:strCache>
                <c:ptCount val="7"/>
                <c:pt idx="0">
                  <c:v>Налог на прибыль организаций</c:v>
                </c:pt>
                <c:pt idx="1">
                  <c:v>Налог на доходы физических лиц</c:v>
                </c:pt>
                <c:pt idx="2">
                  <c:v>НАЛОГИ НА ТОВАРЫ (РАБОТЫ, УСЛУГИ), РЕАЛИЗУЕМЫЕ НА ТЕРРИТОРИИ РОССИЙСКОЙ ФЕДЕРАЦИИ</c:v>
                </c:pt>
                <c:pt idx="3">
                  <c:v>НАЛОГИ НА СОВОКУПНЫЙ ДОХОД</c:v>
                </c:pt>
                <c:pt idx="4">
                  <c:v>НАЛОГИ НА ИМУЩЕСТВО</c:v>
                </c:pt>
                <c:pt idx="5">
                  <c:v>ДОХОДЫ ОТ ИСПОЛЬЗОВАНИЯ ИМУЩЕСТВА, НАХОДЯЩЕГОСЯ В ГОСУДАРСТВЕННОЙ И МУНИЦИПАЛЬНОЙ СОБСТВЕННОСТИ</c:v>
                </c:pt>
                <c:pt idx="6">
                  <c:v>ДОХОДЫ ОТ ОКАЗАНИЯ ПЛАТНЫХ УСЛУГ И КОМПЕНСАЦИИ ЗАТРАТ ГОСУДАРСТВА</c:v>
                </c:pt>
              </c:strCache>
            </c:strRef>
          </c:cat>
          <c:val>
            <c:numRef>
              <c:f>Лист1!$J$9:$J$15</c:f>
              <c:numCache>
                <c:formatCode>#,##0.00</c:formatCode>
                <c:ptCount val="7"/>
                <c:pt idx="0">
                  <c:v>5.7127341532113833</c:v>
                </c:pt>
                <c:pt idx="1">
                  <c:v>61.18241829637946</c:v>
                </c:pt>
                <c:pt idx="2">
                  <c:v>22.652364380559057</c:v>
                </c:pt>
                <c:pt idx="3">
                  <c:v>1.1083708651139885</c:v>
                </c:pt>
                <c:pt idx="4">
                  <c:v>5.81064289029921</c:v>
                </c:pt>
                <c:pt idx="5">
                  <c:v>1.4200185807979757</c:v>
                </c:pt>
                <c:pt idx="6">
                  <c:v>1.3268425580363681</c:v>
                </c:pt>
              </c:numCache>
            </c:numRef>
          </c:val>
        </c:ser>
        <c:dLbls>
          <c:showLegendKey val="0"/>
          <c:showVal val="1"/>
          <c:showCatName val="0"/>
          <c:showSerName val="0"/>
          <c:showPercent val="0"/>
          <c:showBubbleSize val="0"/>
          <c:showLeaderLines val="1"/>
        </c:dLbls>
      </c:pie3DChart>
    </c:plotArea>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Arial Cyr"/>
                <a:ea typeface="Arial Cyr"/>
                <a:cs typeface="Arial Cyr"/>
              </a:defRPr>
            </a:pPr>
            <a:r>
              <a:rPr lang="ru-RU" sz="1400">
                <a:latin typeface="Times New Roman" pitchFamily="18" charset="0"/>
                <a:cs typeface="Times New Roman" pitchFamily="18" charset="0"/>
              </a:rPr>
              <a:t>Удельные веса доходов бюджетов бюджетной системы ЧР 
в структуре консолидированного бюджета</a:t>
            </a:r>
            <a:r>
              <a:rPr lang="ru-RU" sz="1400" baseline="0">
                <a:latin typeface="Times New Roman" pitchFamily="18" charset="0"/>
                <a:cs typeface="Times New Roman" pitchFamily="18" charset="0"/>
              </a:rPr>
              <a:t> республики </a:t>
            </a:r>
          </a:p>
          <a:p>
            <a:pPr>
              <a:defRPr sz="1400" b="1" i="0" u="none" strike="noStrike" baseline="0">
                <a:solidFill>
                  <a:srgbClr val="000000"/>
                </a:solidFill>
                <a:latin typeface="Arial Cyr"/>
                <a:ea typeface="Arial Cyr"/>
                <a:cs typeface="Arial Cyr"/>
              </a:defRPr>
            </a:pPr>
            <a:r>
              <a:rPr lang="ru-RU" sz="1400">
                <a:latin typeface="Times New Roman" pitchFamily="18" charset="0"/>
                <a:cs typeface="Times New Roman" pitchFamily="18" charset="0"/>
              </a:rPr>
              <a:t>за 2012 год</a:t>
            </a:r>
          </a:p>
        </c:rich>
      </c:tx>
      <c:layout>
        <c:manualLayout>
          <c:xMode val="edge"/>
          <c:yMode val="edge"/>
          <c:x val="0.14264701835958488"/>
          <c:y val="3.0257288466744347E-3"/>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8970588235294154"/>
          <c:y val="0.45719887790202296"/>
          <c:w val="0.42205882352941226"/>
          <c:h val="0.2217900939609812"/>
        </c:manualLayout>
      </c:layout>
      <c:pie3DChart>
        <c:varyColors val="1"/>
        <c:ser>
          <c:idx val="0"/>
          <c:order val="0"/>
          <c:spPr>
            <a:solidFill>
              <a:srgbClr val="8080FF"/>
            </a:solidFill>
            <a:ln w="12700">
              <a:solidFill>
                <a:srgbClr val="000000"/>
              </a:solidFill>
              <a:prstDash val="solid"/>
            </a:ln>
          </c:spPr>
          <c:explosion val="21"/>
          <c:dPt>
            <c:idx val="0"/>
            <c:bubble3D val="0"/>
          </c:dPt>
          <c:dPt>
            <c:idx val="1"/>
            <c:bubble3D val="0"/>
            <c:spPr>
              <a:solidFill>
                <a:srgbClr val="802060"/>
              </a:solidFill>
              <a:ln w="12700">
                <a:solidFill>
                  <a:srgbClr val="000000"/>
                </a:solidFill>
                <a:prstDash val="solid"/>
              </a:ln>
            </c:spPr>
          </c:dPt>
          <c:dPt>
            <c:idx val="2"/>
            <c:bubble3D val="0"/>
            <c:spPr>
              <a:solidFill>
                <a:srgbClr val="FFFFC0"/>
              </a:solidFill>
              <a:ln w="12700">
                <a:solidFill>
                  <a:srgbClr val="000000"/>
                </a:solidFill>
                <a:prstDash val="solid"/>
              </a:ln>
            </c:spPr>
          </c:dPt>
          <c:dPt>
            <c:idx val="3"/>
            <c:bubble3D val="0"/>
            <c:spPr>
              <a:solidFill>
                <a:srgbClr val="A0E0E0"/>
              </a:solidFill>
              <a:ln w="12700">
                <a:solidFill>
                  <a:srgbClr val="000000"/>
                </a:solidFill>
                <a:prstDash val="solid"/>
              </a:ln>
            </c:spPr>
          </c:dPt>
          <c:dLbls>
            <c:dLbl>
              <c:idx val="0"/>
              <c:layout>
                <c:manualLayout>
                  <c:x val="3.7926885213846857E-2"/>
                  <c:y val="0.14839159696477625"/>
                </c:manualLayout>
              </c:layout>
              <c:dLblPos val="bestFit"/>
              <c:showLegendKey val="0"/>
              <c:showVal val="0"/>
              <c:showCatName val="1"/>
              <c:showSerName val="0"/>
              <c:showPercent val="1"/>
              <c:showBubbleSize val="0"/>
            </c:dLbl>
            <c:dLbl>
              <c:idx val="1"/>
              <c:layout>
                <c:manualLayout>
                  <c:x val="-0.10617256533920384"/>
                  <c:y val="0.16031515373882985"/>
                </c:manualLayout>
              </c:layout>
              <c:dLblPos val="bestFit"/>
              <c:showLegendKey val="0"/>
              <c:showVal val="0"/>
              <c:showCatName val="1"/>
              <c:showSerName val="0"/>
              <c:showPercent val="1"/>
              <c:showBubbleSize val="0"/>
            </c:dLbl>
            <c:dLbl>
              <c:idx val="2"/>
              <c:layout>
                <c:manualLayout>
                  <c:x val="-0.10853956670034497"/>
                  <c:y val="1.4933341743522278E-2"/>
                </c:manualLayout>
              </c:layout>
              <c:dLblPos val="bestFit"/>
              <c:showLegendKey val="0"/>
              <c:showVal val="0"/>
              <c:showCatName val="1"/>
              <c:showSerName val="0"/>
              <c:showPercent val="1"/>
              <c:showBubbleSize val="0"/>
            </c:dLbl>
            <c:dLbl>
              <c:idx val="3"/>
              <c:layout>
                <c:manualLayout>
                  <c:x val="0.29451268874051983"/>
                  <c:y val="-2.5339985106241554E-3"/>
                </c:manualLayout>
              </c:layout>
              <c:dLblPos val="bestFit"/>
              <c:showLegendKey val="0"/>
              <c:showVal val="0"/>
              <c:showCatName val="1"/>
              <c:showSerName val="0"/>
              <c:showPercent val="1"/>
              <c:showBubbleSize val="0"/>
            </c:dLbl>
            <c:numFmt formatCode="0%" sourceLinked="0"/>
            <c:spPr>
              <a:noFill/>
              <a:ln w="25400">
                <a:noFill/>
              </a:ln>
            </c:spPr>
            <c:txPr>
              <a:bodyPr/>
              <a:lstStyle/>
              <a:p>
                <a:pPr>
                  <a:defRPr sz="11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0"/>
            <c:showCatName val="1"/>
            <c:showSerName val="0"/>
            <c:showPercent val="1"/>
            <c:showBubbleSize val="0"/>
            <c:showLeaderLines val="1"/>
          </c:dLbls>
          <c:cat>
            <c:strRef>
              <c:f>(Лист1!$A$9;Лист1!$A$14;Лист1!$A$19;Лист1!$A$25)</c:f>
              <c:strCache>
                <c:ptCount val="4"/>
                <c:pt idx="0">
                  <c:v>Доходы республиканского бюджета</c:v>
                </c:pt>
                <c:pt idx="1">
                  <c:v>Доходы районных бюджетов</c:v>
                </c:pt>
                <c:pt idx="2">
                  <c:v>Доходы бюджетов городских округов</c:v>
                </c:pt>
                <c:pt idx="3">
                  <c:v>Доходы бюджетов поселений</c:v>
                </c:pt>
              </c:strCache>
            </c:strRef>
          </c:cat>
          <c:val>
            <c:numRef>
              <c:f>(Лист1!$D$10;Лист1!$D$15;Лист1!$D$20;Лист1!$D$26)</c:f>
              <c:numCache>
                <c:formatCode>#,##0.0</c:formatCode>
                <c:ptCount val="4"/>
                <c:pt idx="0">
                  <c:v>74267714.291730002</c:v>
                </c:pt>
                <c:pt idx="1">
                  <c:v>15511813.3035</c:v>
                </c:pt>
                <c:pt idx="2">
                  <c:v>6806416.7507699998</c:v>
                </c:pt>
                <c:pt idx="3">
                  <c:v>1030715.02639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3175">
      <a:noFill/>
      <a:prstDash val="solid"/>
    </a:ln>
  </c:spPr>
  <c:txPr>
    <a:bodyPr/>
    <a:lstStyle/>
    <a:p>
      <a:pPr>
        <a:defRPr sz="11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Расходы консолидированного бюджета за 2012 год по ФКР</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3191796230950579"/>
          <c:y val="0.4102345540140816"/>
          <c:w val="0.48455321651624861"/>
          <c:h val="0.43404730520873991"/>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Pt>
            <c:idx val="10"/>
            <c:bubble3D val="0"/>
          </c:dPt>
          <c:dPt>
            <c:idx val="11"/>
            <c:bubble3D val="0"/>
          </c:dPt>
          <c:dPt>
            <c:idx val="12"/>
            <c:bubble3D val="0"/>
          </c:dPt>
          <c:dLbls>
            <c:dLbl>
              <c:idx val="0"/>
              <c:layout>
                <c:manualLayout>
                  <c:x val="0.25384660544148191"/>
                  <c:y val="-0.12180265462838202"/>
                </c:manualLayout>
              </c:layout>
              <c:dLblPos val="bestFit"/>
              <c:showLegendKey val="0"/>
              <c:showVal val="0"/>
              <c:showCatName val="1"/>
              <c:showSerName val="0"/>
              <c:showPercent val="1"/>
              <c:showBubbleSize val="0"/>
            </c:dLbl>
            <c:dLbl>
              <c:idx val="1"/>
              <c:layout>
                <c:manualLayout>
                  <c:x val="9.7085231885726139E-2"/>
                  <c:y val="-4.0701136031653783E-2"/>
                </c:manualLayout>
              </c:layout>
              <c:dLblPos val="bestFit"/>
              <c:showLegendKey val="0"/>
              <c:showVal val="0"/>
              <c:showCatName val="1"/>
              <c:showSerName val="0"/>
              <c:showPercent val="1"/>
              <c:showBubbleSize val="0"/>
            </c:dLbl>
            <c:dLbl>
              <c:idx val="2"/>
              <c:layout>
                <c:manualLayout>
                  <c:x val="0.19108824861363494"/>
                  <c:y val="0.10454140511575259"/>
                </c:manualLayout>
              </c:layout>
              <c:dLblPos val="bestFit"/>
              <c:showLegendKey val="0"/>
              <c:showVal val="0"/>
              <c:showCatName val="1"/>
              <c:showSerName val="0"/>
              <c:showPercent val="1"/>
              <c:showBubbleSize val="0"/>
            </c:dLbl>
            <c:dLbl>
              <c:idx val="3"/>
              <c:layout>
                <c:manualLayout>
                  <c:x val="0.16607073270061865"/>
                  <c:y val="0.20415134203250471"/>
                </c:manualLayout>
              </c:layout>
              <c:dLblPos val="bestFit"/>
              <c:showLegendKey val="0"/>
              <c:showVal val="0"/>
              <c:showCatName val="1"/>
              <c:showSerName val="0"/>
              <c:showPercent val="1"/>
              <c:showBubbleSize val="0"/>
            </c:dLbl>
            <c:dLbl>
              <c:idx val="4"/>
              <c:layout>
                <c:manualLayout>
                  <c:x val="0.12462762794552015"/>
                  <c:y val="0.15040450369290823"/>
                </c:manualLayout>
              </c:layout>
              <c:dLblPos val="bestFit"/>
              <c:showLegendKey val="0"/>
              <c:showVal val="0"/>
              <c:showCatName val="1"/>
              <c:showSerName val="0"/>
              <c:showPercent val="1"/>
              <c:showBubbleSize val="0"/>
            </c:dLbl>
            <c:dLbl>
              <c:idx val="5"/>
              <c:layout>
                <c:manualLayout>
                  <c:x val="-4.6278683222459566E-2"/>
                  <c:y val="0.15804191997902778"/>
                </c:manualLayout>
              </c:layout>
              <c:dLblPos val="bestFit"/>
              <c:showLegendKey val="0"/>
              <c:showVal val="0"/>
              <c:showCatName val="1"/>
              <c:showSerName val="0"/>
              <c:showPercent val="1"/>
              <c:showBubbleSize val="0"/>
            </c:dLbl>
            <c:dLbl>
              <c:idx val="6"/>
              <c:layout>
                <c:manualLayout>
                  <c:x val="-1.6156253827525523E-2"/>
                  <c:y val="4.7688628616860684E-2"/>
                </c:manualLayout>
              </c:layout>
              <c:dLblPos val="bestFit"/>
              <c:showLegendKey val="0"/>
              <c:showVal val="0"/>
              <c:showCatName val="1"/>
              <c:showSerName val="0"/>
              <c:showPercent val="1"/>
              <c:showBubbleSize val="0"/>
            </c:dLbl>
            <c:dLbl>
              <c:idx val="7"/>
              <c:layout>
                <c:manualLayout>
                  <c:x val="-8.0232388547828756E-2"/>
                  <c:y val="8.2035837922746963E-2"/>
                </c:manualLayout>
              </c:layout>
              <c:dLblPos val="bestFit"/>
              <c:showLegendKey val="0"/>
              <c:showVal val="0"/>
              <c:showCatName val="1"/>
              <c:showSerName val="0"/>
              <c:showPercent val="1"/>
              <c:showBubbleSize val="0"/>
            </c:dLbl>
            <c:dLbl>
              <c:idx val="8"/>
              <c:layout>
                <c:manualLayout>
                  <c:x val="-5.2301054624295476E-2"/>
                  <c:y val="-9.3558799858073791E-2"/>
                </c:manualLayout>
              </c:layout>
              <c:dLblPos val="bestFit"/>
              <c:showLegendKey val="0"/>
              <c:showVal val="0"/>
              <c:showCatName val="1"/>
              <c:showSerName val="0"/>
              <c:showPercent val="1"/>
              <c:showBubbleSize val="0"/>
            </c:dLbl>
            <c:dLbl>
              <c:idx val="9"/>
              <c:layout>
                <c:manualLayout>
                  <c:x val="-0.17930455006947041"/>
                  <c:y val="-2.8749032201448727E-2"/>
                </c:manualLayout>
              </c:layout>
              <c:dLblPos val="bestFit"/>
              <c:showLegendKey val="0"/>
              <c:showVal val="0"/>
              <c:showCatName val="1"/>
              <c:showSerName val="0"/>
              <c:showPercent val="1"/>
              <c:showBubbleSize val="0"/>
            </c:dLbl>
            <c:dLbl>
              <c:idx val="10"/>
              <c:layout>
                <c:manualLayout>
                  <c:x val="-0.15203165330033394"/>
                  <c:y val="-0.12744837759750466"/>
                </c:manualLayout>
              </c:layout>
              <c:dLblPos val="bestFit"/>
              <c:showLegendKey val="0"/>
              <c:showVal val="0"/>
              <c:showCatName val="1"/>
              <c:showSerName val="0"/>
              <c:showPercent val="1"/>
              <c:showBubbleSize val="0"/>
            </c:dLbl>
            <c:dLbl>
              <c:idx val="11"/>
              <c:layout>
                <c:manualLayout>
                  <c:x val="-3.7779054650727187E-2"/>
                  <c:y val="-0.14798625698286788"/>
                </c:manualLayout>
              </c:layout>
              <c:dLblPos val="bestFit"/>
              <c:showLegendKey val="0"/>
              <c:showVal val="0"/>
              <c:showCatName val="1"/>
              <c:showSerName val="0"/>
              <c:showPercent val="1"/>
              <c:showBubbleSize val="0"/>
            </c:dLbl>
            <c:dLbl>
              <c:idx val="12"/>
              <c:layout>
                <c:manualLayout>
                  <c:x val="0.14386298586743279"/>
                  <c:y val="-7.3939431056944227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('Консол бюд'!$B$5;'Консол бюд'!$B$16;'Консол бюд'!$B$18;'Консол бюд'!$B$23;'Консол бюд'!$B$34;'Консол бюд'!$B$39;'Консол бюд'!$B$44;'Консол бюд'!$B$53;'Консол бюд'!$B$56;'Консол бюд'!$B$63;'Консол бюд'!$B$69;'Консол бюд'!$B$75;'Консол бюд'!$B$79)</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strCache>
            </c:strRef>
          </c:cat>
          <c:val>
            <c:numRef>
              <c:f>('Консол бюд'!$F$5;'Консол бюд'!$F$16;'Консол бюд'!$F$18;'Консол бюд'!$F$23;'Консол бюд'!$F$34;'Консол бюд'!$F$39;'Консол бюд'!$F$44;'Консол бюд'!$F$53;'Консол бюд'!$F$56;'Консол бюд'!$F$63;'Консол бюд'!$F$69;'Консол бюд'!$F$75;'Консол бюд'!$F$79)</c:f>
              <c:numCache>
                <c:formatCode>#,##0.0</c:formatCode>
                <c:ptCount val="13"/>
                <c:pt idx="0">
                  <c:v>7996030.4088700004</c:v>
                </c:pt>
                <c:pt idx="1">
                  <c:v>29454.733199999999</c:v>
                </c:pt>
                <c:pt idx="2">
                  <c:v>327771.17418999999</c:v>
                </c:pt>
                <c:pt idx="3">
                  <c:v>11213100.18083</c:v>
                </c:pt>
                <c:pt idx="4">
                  <c:v>8234092.7817900004</c:v>
                </c:pt>
                <c:pt idx="5">
                  <c:v>81649.899999999994</c:v>
                </c:pt>
                <c:pt idx="6">
                  <c:v>19748016.866949998</c:v>
                </c:pt>
                <c:pt idx="7">
                  <c:v>2871434.7323100003</c:v>
                </c:pt>
                <c:pt idx="8">
                  <c:v>12147921.366610002</c:v>
                </c:pt>
                <c:pt idx="9">
                  <c:v>12193626.15044</c:v>
                </c:pt>
                <c:pt idx="10">
                  <c:v>1723018.7784300002</c:v>
                </c:pt>
                <c:pt idx="11">
                  <c:v>812365.52389999991</c:v>
                </c:pt>
                <c:pt idx="12">
                  <c:v>153398.92298999999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latin typeface="Times New Roman" pitchFamily="18" charset="0"/>
                <a:cs typeface="Times New Roman" pitchFamily="18" charset="0"/>
              </a:defRPr>
            </a:pPr>
            <a:r>
              <a:rPr lang="ru-RU" sz="1300">
                <a:latin typeface="Times New Roman" pitchFamily="18" charset="0"/>
                <a:cs typeface="Times New Roman" pitchFamily="18" charset="0"/>
              </a:rPr>
              <a:t>Темпы роста ВВП Европейского союза, %</a:t>
            </a:r>
          </a:p>
        </c:rich>
      </c:tx>
      <c:overlay val="0"/>
    </c:title>
    <c:autoTitleDeleted val="0"/>
    <c:plotArea>
      <c:layout/>
      <c:lineChart>
        <c:grouping val="standard"/>
        <c:varyColors val="0"/>
        <c:ser>
          <c:idx val="0"/>
          <c:order val="0"/>
          <c:dLbls>
            <c:dLbl>
              <c:idx val="3"/>
              <c:layout>
                <c:manualLayout>
                  <c:x val="-1.7867116486565193E-2"/>
                  <c:y val="-3.2800323767605319E-2"/>
                </c:manualLayout>
              </c:layout>
              <c:showLegendKey val="0"/>
              <c:showVal val="1"/>
              <c:showCatName val="0"/>
              <c:showSerName val="0"/>
              <c:showPercent val="0"/>
              <c:showBubbleSize val="0"/>
            </c:dLbl>
            <c:dLbl>
              <c:idx val="7"/>
              <c:layout>
                <c:manualLayout>
                  <c:x val="-8.9335582432825966E-3"/>
                  <c:y val="-3.9360388521126381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Лист8!$C$11:$C$20</c:f>
              <c:strCache>
                <c:ptCount val="10"/>
                <c:pt idx="0">
                  <c:v>2003 год</c:v>
                </c:pt>
                <c:pt idx="1">
                  <c:v>2004 год</c:v>
                </c:pt>
                <c:pt idx="2">
                  <c:v>2005 год</c:v>
                </c:pt>
                <c:pt idx="3">
                  <c:v>2006 год</c:v>
                </c:pt>
                <c:pt idx="4">
                  <c:v>2007 год</c:v>
                </c:pt>
                <c:pt idx="5">
                  <c:v>2008 год</c:v>
                </c:pt>
                <c:pt idx="6">
                  <c:v>2009 год</c:v>
                </c:pt>
                <c:pt idx="7">
                  <c:v>2010 год</c:v>
                </c:pt>
                <c:pt idx="8">
                  <c:v>2011 год</c:v>
                </c:pt>
                <c:pt idx="9">
                  <c:v>2012 год</c:v>
                </c:pt>
              </c:strCache>
            </c:strRef>
          </c:cat>
          <c:val>
            <c:numRef>
              <c:f>Лист8!$D$11:$D$20</c:f>
              <c:numCache>
                <c:formatCode>General</c:formatCode>
                <c:ptCount val="10"/>
                <c:pt idx="0">
                  <c:v>0.5</c:v>
                </c:pt>
                <c:pt idx="1">
                  <c:v>2.4</c:v>
                </c:pt>
                <c:pt idx="2">
                  <c:v>1.7</c:v>
                </c:pt>
                <c:pt idx="3">
                  <c:v>3.1</c:v>
                </c:pt>
                <c:pt idx="4">
                  <c:v>3</c:v>
                </c:pt>
                <c:pt idx="5">
                  <c:v>0.8</c:v>
                </c:pt>
                <c:pt idx="6">
                  <c:v>-4.0999999999999996</c:v>
                </c:pt>
                <c:pt idx="7">
                  <c:v>2.1</c:v>
                </c:pt>
                <c:pt idx="8">
                  <c:v>1.6</c:v>
                </c:pt>
                <c:pt idx="9">
                  <c:v>-0.2</c:v>
                </c:pt>
              </c:numCache>
            </c:numRef>
          </c:val>
          <c:smooth val="0"/>
        </c:ser>
        <c:dLbls>
          <c:showLegendKey val="0"/>
          <c:showVal val="1"/>
          <c:showCatName val="0"/>
          <c:showSerName val="0"/>
          <c:showPercent val="0"/>
          <c:showBubbleSize val="0"/>
        </c:dLbls>
        <c:marker val="1"/>
        <c:smooth val="0"/>
        <c:axId val="250100736"/>
        <c:axId val="114893184"/>
      </c:lineChart>
      <c:catAx>
        <c:axId val="250100736"/>
        <c:scaling>
          <c:orientation val="minMax"/>
        </c:scaling>
        <c:delete val="0"/>
        <c:axPos val="b"/>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4893184"/>
        <c:crosses val="autoZero"/>
        <c:auto val="1"/>
        <c:lblAlgn val="ctr"/>
        <c:lblOffset val="100"/>
        <c:noMultiLvlLbl val="0"/>
      </c:catAx>
      <c:valAx>
        <c:axId val="114893184"/>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250100736"/>
        <c:crosses val="autoZero"/>
        <c:crossBetween val="between"/>
      </c:valAx>
    </c:plotArea>
    <c:plotVisOnly val="1"/>
    <c:dispBlanksAs val="gap"/>
    <c:showDLblsOverMax val="0"/>
  </c:chart>
  <c:spPr>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Расходы республиканского бюджета за 2012 год по ФКР</a:t>
            </a:r>
          </a:p>
        </c:rich>
      </c:tx>
      <c:layout>
        <c:manualLayout>
          <c:xMode val="edge"/>
          <c:yMode val="edge"/>
          <c:x val="0.15690407500217987"/>
          <c:y val="0"/>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4378544160073395"/>
          <c:y val="0.39955330884844215"/>
          <c:w val="0.56313539526632939"/>
          <c:h val="0.49728434548091122"/>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Pt>
            <c:idx val="10"/>
            <c:bubble3D val="0"/>
          </c:dPt>
          <c:dPt>
            <c:idx val="11"/>
            <c:bubble3D val="0"/>
          </c:dPt>
          <c:dPt>
            <c:idx val="12"/>
            <c:bubble3D val="0"/>
          </c:dPt>
          <c:dPt>
            <c:idx val="13"/>
            <c:bubble3D val="0"/>
          </c:dPt>
          <c:dLbls>
            <c:dLbl>
              <c:idx val="0"/>
              <c:layout>
                <c:manualLayout>
                  <c:x val="-7.9472219067478964E-3"/>
                  <c:y val="-0.10541283826851615"/>
                </c:manualLayout>
              </c:layout>
              <c:dLblPos val="bestFit"/>
              <c:showLegendKey val="0"/>
              <c:showVal val="0"/>
              <c:showCatName val="1"/>
              <c:showSerName val="0"/>
              <c:showPercent val="1"/>
              <c:showBubbleSize val="0"/>
            </c:dLbl>
            <c:dLbl>
              <c:idx val="1"/>
              <c:layout>
                <c:manualLayout>
                  <c:x val="0.18462598004036082"/>
                  <c:y val="-0.18334820247763667"/>
                </c:manualLayout>
              </c:layout>
              <c:dLblPos val="bestFit"/>
              <c:showLegendKey val="0"/>
              <c:showVal val="0"/>
              <c:showCatName val="1"/>
              <c:showSerName val="0"/>
              <c:showPercent val="1"/>
              <c:showBubbleSize val="0"/>
            </c:dLbl>
            <c:dLbl>
              <c:idx val="2"/>
              <c:layout>
                <c:manualLayout>
                  <c:x val="0.19480025573726362"/>
                  <c:y val="3.4392424390688722E-2"/>
                </c:manualLayout>
              </c:layout>
              <c:dLblPos val="bestFit"/>
              <c:showLegendKey val="0"/>
              <c:showVal val="0"/>
              <c:showCatName val="1"/>
              <c:showSerName val="0"/>
              <c:showPercent val="1"/>
              <c:showBubbleSize val="0"/>
            </c:dLbl>
            <c:dLbl>
              <c:idx val="3"/>
              <c:layout>
                <c:manualLayout>
                  <c:x val="0.11650609058483075"/>
                  <c:y val="7.3977092510174133E-2"/>
                </c:manualLayout>
              </c:layout>
              <c:dLblPos val="bestFit"/>
              <c:showLegendKey val="0"/>
              <c:showVal val="0"/>
              <c:showCatName val="1"/>
              <c:showSerName val="0"/>
              <c:showPercent val="1"/>
              <c:showBubbleSize val="0"/>
            </c:dLbl>
            <c:dLbl>
              <c:idx val="4"/>
              <c:layout>
                <c:manualLayout>
                  <c:x val="4.8624873813850195E-2"/>
                  <c:y val="3.2586281648270723E-2"/>
                </c:manualLayout>
              </c:layout>
              <c:dLblPos val="bestFit"/>
              <c:showLegendKey val="0"/>
              <c:showVal val="0"/>
              <c:showCatName val="1"/>
              <c:showSerName val="0"/>
              <c:showPercent val="1"/>
              <c:showBubbleSize val="0"/>
            </c:dLbl>
            <c:dLbl>
              <c:idx val="5"/>
              <c:layout>
                <c:manualLayout>
                  <c:x val="4.2143953159701195E-2"/>
                  <c:y val="0.21748687118030929"/>
                </c:manualLayout>
              </c:layout>
              <c:dLblPos val="bestFit"/>
              <c:showLegendKey val="0"/>
              <c:showVal val="0"/>
              <c:showCatName val="1"/>
              <c:showSerName val="0"/>
              <c:showPercent val="1"/>
              <c:showBubbleSize val="0"/>
            </c:dLbl>
            <c:dLbl>
              <c:idx val="6"/>
              <c:layout>
                <c:manualLayout>
                  <c:x val="-6.534490880947574E-3"/>
                  <c:y val="2.032970081028811E-2"/>
                </c:manualLayout>
              </c:layout>
              <c:dLblPos val="bestFit"/>
              <c:showLegendKey val="0"/>
              <c:showVal val="0"/>
              <c:showCatName val="1"/>
              <c:showSerName val="0"/>
              <c:showPercent val="1"/>
              <c:showBubbleSize val="0"/>
            </c:dLbl>
            <c:dLbl>
              <c:idx val="7"/>
              <c:layout>
                <c:manualLayout>
                  <c:x val="-2.8841510195840935E-2"/>
                  <c:y val="0"/>
                </c:manualLayout>
              </c:layout>
              <c:dLblPos val="bestFit"/>
              <c:showLegendKey val="0"/>
              <c:showVal val="0"/>
              <c:showCatName val="1"/>
              <c:showSerName val="0"/>
              <c:showPercent val="1"/>
              <c:showBubbleSize val="0"/>
            </c:dLbl>
            <c:dLbl>
              <c:idx val="8"/>
              <c:layout>
                <c:manualLayout>
                  <c:x val="-9.0944379302590792E-2"/>
                  <c:y val="6.6955865199915018E-2"/>
                </c:manualLayout>
              </c:layout>
              <c:dLblPos val="bestFit"/>
              <c:showLegendKey val="0"/>
              <c:showVal val="0"/>
              <c:showCatName val="1"/>
              <c:showSerName val="0"/>
              <c:showPercent val="1"/>
              <c:showBubbleSize val="0"/>
            </c:dLbl>
            <c:dLbl>
              <c:idx val="9"/>
              <c:layout>
                <c:manualLayout>
                  <c:x val="-0.11351584205571214"/>
                  <c:y val="0.21152053351140174"/>
                </c:manualLayout>
              </c:layout>
              <c:dLblPos val="bestFit"/>
              <c:showLegendKey val="0"/>
              <c:showVal val="0"/>
              <c:showCatName val="1"/>
              <c:showSerName val="0"/>
              <c:showPercent val="1"/>
              <c:showBubbleSize val="0"/>
            </c:dLbl>
            <c:dLbl>
              <c:idx val="10"/>
              <c:layout>
                <c:manualLayout>
                  <c:x val="-0.17014214840343661"/>
                  <c:y val="0.16072334502629834"/>
                </c:manualLayout>
              </c:layout>
              <c:dLblPos val="bestFit"/>
              <c:showLegendKey val="0"/>
              <c:showVal val="0"/>
              <c:showCatName val="1"/>
              <c:showSerName val="0"/>
              <c:showPercent val="1"/>
              <c:showBubbleSize val="0"/>
            </c:dLbl>
            <c:dLbl>
              <c:idx val="11"/>
              <c:layout>
                <c:manualLayout>
                  <c:x val="-0.19149192973049772"/>
                  <c:y val="2.934659595963976E-2"/>
                </c:manualLayout>
              </c:layout>
              <c:dLblPos val="bestFit"/>
              <c:showLegendKey val="0"/>
              <c:showVal val="0"/>
              <c:showCatName val="1"/>
              <c:showSerName val="0"/>
              <c:showPercent val="1"/>
              <c:showBubbleSize val="0"/>
            </c:dLbl>
            <c:dLbl>
              <c:idx val="12"/>
              <c:layout>
                <c:manualLayout>
                  <c:x val="-9.778045791901116E-2"/>
                  <c:y val="-0.13470171015033192"/>
                </c:manualLayout>
              </c:layout>
              <c:dLblPos val="bestFit"/>
              <c:showLegendKey val="0"/>
              <c:showVal val="0"/>
              <c:showCatName val="1"/>
              <c:showSerName val="0"/>
              <c:showPercent val="1"/>
              <c:showBubbleSize val="0"/>
            </c:dLbl>
            <c:dLbl>
              <c:idx val="13"/>
              <c:layout>
                <c:manualLayout>
                  <c:x val="0.10950311060985664"/>
                  <c:y val="-2.7652543328289026E-2"/>
                </c:manualLayout>
              </c:layout>
              <c:tx>
                <c:rich>
                  <a:bodyPr/>
                  <a:lstStyle/>
                  <a:p>
                    <a:r>
                      <a:rPr lang="ru-RU"/>
                      <a:t>Межбюджетные трансферты общего характера бюджетам субъектов РФ и муниципальных образований
9%</a:t>
                    </a:r>
                  </a:p>
                </c:rich>
              </c:tx>
              <c:dLblPos val="bestFit"/>
              <c:showLegendKey val="0"/>
              <c:showVal val="0"/>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('Респ бюд'!$B$5;'Респ бюд'!$B$16;'Респ бюд'!$B$18;'Респ бюд'!$B$22;'Респ бюд'!$B$33;'Респ бюд'!$B$38;'Респ бюд'!$B$43;'Респ бюд'!$B$52;'Респ бюд'!$B$55;'Респ бюд'!$B$61;'Респ бюд'!$B$67;'Респ бюд'!$B$72;'Респ бюд'!$B$76;'Респ бюд'!$B$78)</c:f>
              <c:strCache>
                <c:ptCount val="14"/>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pt idx="13">
                  <c:v>Межбюджетные трансферты общего характера бюджетам субъектов Российской Федерации и муниципальных образований</c:v>
                </c:pt>
              </c:strCache>
            </c:strRef>
          </c:cat>
          <c:val>
            <c:numRef>
              <c:f>('Респ бюд'!$F$5;'Респ бюд'!$F$16;'Респ бюд'!$F$18;'Респ бюд'!$F$22;'Респ бюд'!$F$33;'Респ бюд'!$F$38;'Респ бюд'!$F$43;'Респ бюд'!$F$52;'Респ бюд'!$F$55;'Респ бюд'!$F$61;'Респ бюд'!$F$67;'Респ бюд'!$F$72;'Респ бюд'!$F$76;'Респ бюд'!$F$78)</c:f>
              <c:numCache>
                <c:formatCode>#,##0.0</c:formatCode>
                <c:ptCount val="14"/>
                <c:pt idx="0">
                  <c:v>6032907.6403700002</c:v>
                </c:pt>
                <c:pt idx="1">
                  <c:v>29474.9</c:v>
                </c:pt>
                <c:pt idx="2">
                  <c:v>230456.78232</c:v>
                </c:pt>
                <c:pt idx="3">
                  <c:v>11014071.857449999</c:v>
                </c:pt>
                <c:pt idx="4">
                  <c:v>5536355.2806600006</c:v>
                </c:pt>
                <c:pt idx="5">
                  <c:v>81649.899999999994</c:v>
                </c:pt>
                <c:pt idx="6">
                  <c:v>16527390.094609998</c:v>
                </c:pt>
                <c:pt idx="7">
                  <c:v>2306263.1143800002</c:v>
                </c:pt>
                <c:pt idx="8">
                  <c:v>10853436.32965</c:v>
                </c:pt>
                <c:pt idx="9">
                  <c:v>11691555.51121</c:v>
                </c:pt>
                <c:pt idx="10">
                  <c:v>1497386.5386100002</c:v>
                </c:pt>
                <c:pt idx="11">
                  <c:v>752470.03717000003</c:v>
                </c:pt>
                <c:pt idx="12">
                  <c:v>142530.74880999999</c:v>
                </c:pt>
                <c:pt idx="13">
                  <c:v>6851452.9440000001</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Расходы районных бюджетов за 2012 год по ФКР</a:t>
            </a:r>
          </a:p>
        </c:rich>
      </c:tx>
      <c:layout>
        <c:manualLayout>
          <c:xMode val="edge"/>
          <c:yMode val="edge"/>
          <c:x val="0.19743376083767092"/>
          <c:y val="0"/>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4895780179620064"/>
          <c:y val="0.41241691565684663"/>
          <c:w val="0.54327916762509343"/>
          <c:h val="0.48008298398242827"/>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Pt>
            <c:idx val="10"/>
            <c:bubble3D val="0"/>
          </c:dPt>
          <c:dPt>
            <c:idx val="11"/>
            <c:bubble3D val="0"/>
          </c:dPt>
          <c:dPt>
            <c:idx val="12"/>
            <c:bubble3D val="0"/>
          </c:dPt>
          <c:dLbls>
            <c:dLbl>
              <c:idx val="1"/>
              <c:layout>
                <c:manualLayout>
                  <c:x val="0.24825470291246002"/>
                  <c:y val="-0.15427619666671158"/>
                </c:manualLayout>
              </c:layout>
              <c:dLblPos val="bestFit"/>
              <c:showLegendKey val="0"/>
              <c:showVal val="0"/>
              <c:showCatName val="1"/>
              <c:showSerName val="0"/>
              <c:showPercent val="1"/>
              <c:showBubbleSize val="0"/>
            </c:dLbl>
            <c:dLbl>
              <c:idx val="2"/>
              <c:layout>
                <c:manualLayout>
                  <c:x val="0.22418301476161745"/>
                  <c:y val="7.8078841816033431E-2"/>
                </c:manualLayout>
              </c:layout>
              <c:dLblPos val="bestFit"/>
              <c:showLegendKey val="0"/>
              <c:showVal val="0"/>
              <c:showCatName val="1"/>
              <c:showSerName val="0"/>
              <c:showPercent val="1"/>
              <c:showBubbleSize val="0"/>
            </c:dLbl>
            <c:dLbl>
              <c:idx val="3"/>
              <c:layout>
                <c:manualLayout>
                  <c:x val="0.23864288888764215"/>
                  <c:y val="0.18754313413522564"/>
                </c:manualLayout>
              </c:layout>
              <c:dLblPos val="bestFit"/>
              <c:showLegendKey val="0"/>
              <c:showVal val="0"/>
              <c:showCatName val="1"/>
              <c:showSerName val="0"/>
              <c:showPercent val="1"/>
              <c:showBubbleSize val="0"/>
            </c:dLbl>
            <c:dLbl>
              <c:idx val="4"/>
              <c:layout>
                <c:manualLayout>
                  <c:x val="0.19241050315473412"/>
                  <c:y val="0.3652473128885298"/>
                </c:manualLayout>
              </c:layout>
              <c:dLblPos val="bestFit"/>
              <c:showLegendKey val="0"/>
              <c:showVal val="0"/>
              <c:showCatName val="1"/>
              <c:showSerName val="0"/>
              <c:showPercent val="1"/>
              <c:showBubbleSize val="0"/>
            </c:dLbl>
            <c:dLbl>
              <c:idx val="5"/>
              <c:layout>
                <c:manualLayout>
                  <c:x val="1.9549515226749824E-2"/>
                  <c:y val="4.9606381866908772E-2"/>
                </c:manualLayout>
              </c:layout>
              <c:dLblPos val="bestFit"/>
              <c:showLegendKey val="0"/>
              <c:showVal val="0"/>
              <c:showCatName val="1"/>
              <c:showSerName val="0"/>
              <c:showPercent val="1"/>
              <c:showBubbleSize val="0"/>
            </c:dLbl>
            <c:dLbl>
              <c:idx val="6"/>
              <c:layout>
                <c:manualLayout>
                  <c:x val="9.302140451969057E-2"/>
                  <c:y val="0.14779077245620068"/>
                </c:manualLayout>
              </c:layout>
              <c:dLblPos val="bestFit"/>
              <c:showLegendKey val="0"/>
              <c:showVal val="0"/>
              <c:showCatName val="1"/>
              <c:showSerName val="0"/>
              <c:showPercent val="1"/>
              <c:showBubbleSize val="0"/>
            </c:dLbl>
            <c:dLbl>
              <c:idx val="7"/>
              <c:layout>
                <c:manualLayout>
                  <c:x val="-6.1458293688454409E-2"/>
                  <c:y val="0.1534699270314511"/>
                </c:manualLayout>
              </c:layout>
              <c:dLblPos val="bestFit"/>
              <c:showLegendKey val="0"/>
              <c:showVal val="0"/>
              <c:showCatName val="1"/>
              <c:showSerName val="0"/>
              <c:showPercent val="1"/>
              <c:showBubbleSize val="0"/>
            </c:dLbl>
            <c:dLbl>
              <c:idx val="8"/>
              <c:layout>
                <c:manualLayout>
                  <c:x val="-0.13438268241938714"/>
                  <c:y val="0.26122132646264679"/>
                </c:manualLayout>
              </c:layout>
              <c:dLblPos val="bestFit"/>
              <c:showLegendKey val="0"/>
              <c:showVal val="0"/>
              <c:showCatName val="1"/>
              <c:showSerName val="0"/>
              <c:showPercent val="1"/>
              <c:showBubbleSize val="0"/>
            </c:dLbl>
            <c:dLbl>
              <c:idx val="9"/>
              <c:layout>
                <c:manualLayout>
                  <c:x val="-0.24111036088047794"/>
                  <c:y val="0.19852382695939721"/>
                </c:manualLayout>
              </c:layout>
              <c:dLblPos val="bestFit"/>
              <c:showLegendKey val="0"/>
              <c:showVal val="0"/>
              <c:showCatName val="1"/>
              <c:showSerName val="0"/>
              <c:showPercent val="1"/>
              <c:showBubbleSize val="0"/>
            </c:dLbl>
            <c:dLbl>
              <c:idx val="10"/>
              <c:layout>
                <c:manualLayout>
                  <c:x val="-0.12377268931702747"/>
                  <c:y val="-0.16814334625410052"/>
                </c:manualLayout>
              </c:layout>
              <c:dLblPos val="bestFit"/>
              <c:showLegendKey val="0"/>
              <c:showVal val="0"/>
              <c:showCatName val="1"/>
              <c:showSerName val="0"/>
              <c:showPercent val="1"/>
              <c:showBubbleSize val="0"/>
            </c:dLbl>
            <c:dLbl>
              <c:idx val="11"/>
              <c:layout>
                <c:manualLayout>
                  <c:x val="-0.24551823962635988"/>
                  <c:y val="4.267809971536847E-2"/>
                </c:manualLayout>
              </c:layout>
              <c:dLblPos val="bestFit"/>
              <c:showLegendKey val="0"/>
              <c:showVal val="0"/>
              <c:showCatName val="1"/>
              <c:showSerName val="0"/>
              <c:showPercent val="1"/>
              <c:showBubbleSize val="0"/>
            </c:dLbl>
            <c:dLbl>
              <c:idx val="12"/>
              <c:layout>
                <c:manualLayout>
                  <c:x val="9.638826441831988E-2"/>
                  <c:y val="-2.1450172473981774E-2"/>
                </c:manualLayout>
              </c:layout>
              <c:tx>
                <c:rich>
                  <a:bodyPr/>
                  <a:lstStyle/>
                  <a:p>
                    <a:r>
                      <a:rPr lang="ru-RU"/>
                      <a:t>Межбюджетные трансферты общего характера бюджетам субъектов РФ и муниципальных образований
5%</a:t>
                    </a:r>
                  </a:p>
                </c:rich>
              </c:tx>
              <c:dLblPos val="bestFit"/>
              <c:showLegendKey val="0"/>
              <c:showVal val="0"/>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('Рай бюдж'!$B$5;'Рай бюдж'!$B$14;'Рай бюдж'!$B$16;'Рай бюдж'!$B$19;'Рай бюдж'!$B$23;'Рай бюдж'!$B$28;'Рай бюдж'!$B$32;'Рай бюдж'!$B$35;'Рай бюдж'!$B$40;'Рай бюдж'!$B$46;'Рай бюдж'!$B$50;'Рай бюдж'!$B$52;'Рай бюдж'!$B$54)</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Образование</c:v>
                </c:pt>
                <c:pt idx="6">
                  <c:v>Культура, кинематография</c:v>
                </c:pt>
                <c:pt idx="7">
                  <c:v>Здравоохранение</c:v>
                </c:pt>
                <c:pt idx="8">
                  <c:v>Социальная политика</c:v>
                </c:pt>
                <c:pt idx="9">
                  <c:v>Физическая культура и спорт</c:v>
                </c:pt>
                <c:pt idx="10">
                  <c:v>Средства массовой информации</c:v>
                </c:pt>
                <c:pt idx="11">
                  <c:v>Обслуживание государственного и муниципального долга</c:v>
                </c:pt>
                <c:pt idx="12">
                  <c:v>Межбюджетные трансферты общего характера бюджетам субъектов Российской Федерации и муниципальных образований</c:v>
                </c:pt>
              </c:strCache>
            </c:strRef>
          </c:cat>
          <c:val>
            <c:numRef>
              <c:f>('Рай бюдж'!$F$5;'Рай бюдж'!$F$14;'Рай бюдж'!$F$16;'Рай бюдж'!$F$19;'Рай бюдж'!$F$23;'Рай бюдж'!$F$28;'Рай бюдж'!$F$32;'Рай бюдж'!$F$35;'Рай бюдж'!$F$40;'Рай бюдж'!$F$46;'Рай бюдж'!$F$50;'Рай бюдж'!$F$52;'Рай бюдж'!$F$54)</c:f>
              <c:numCache>
                <c:formatCode>#,##0.0</c:formatCode>
                <c:ptCount val="13"/>
                <c:pt idx="0">
                  <c:v>1026018.2071999999</c:v>
                </c:pt>
                <c:pt idx="1">
                  <c:v>28907.68</c:v>
                </c:pt>
                <c:pt idx="2">
                  <c:v>67481.987659999999</c:v>
                </c:pt>
                <c:pt idx="3">
                  <c:v>349265.31041000003</c:v>
                </c:pt>
                <c:pt idx="4">
                  <c:v>740482.18301999988</c:v>
                </c:pt>
                <c:pt idx="5">
                  <c:v>7786959.7703599995</c:v>
                </c:pt>
                <c:pt idx="6">
                  <c:v>332233.02178999997</c:v>
                </c:pt>
                <c:pt idx="7">
                  <c:v>934039.17007999995</c:v>
                </c:pt>
                <c:pt idx="8">
                  <c:v>3392406.6893999996</c:v>
                </c:pt>
                <c:pt idx="9">
                  <c:v>97022.744579999999</c:v>
                </c:pt>
                <c:pt idx="10">
                  <c:v>57057.78673</c:v>
                </c:pt>
                <c:pt idx="11">
                  <c:v>9638.1413900000007</c:v>
                </c:pt>
                <c:pt idx="12">
                  <c:v>696351.35569999996</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Расходы бюджетов городских округов за 2012 год по ФКР</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2016312640274716"/>
          <c:y val="0.40134812903797901"/>
          <c:w val="0.58685294158032608"/>
          <c:h val="0.52585511977288246"/>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Pt>
            <c:idx val="9"/>
            <c:bubble3D val="0"/>
          </c:dPt>
          <c:dPt>
            <c:idx val="10"/>
            <c:bubble3D val="0"/>
          </c:dPt>
          <c:dPt>
            <c:idx val="11"/>
            <c:bubble3D val="0"/>
          </c:dPt>
          <c:dLbls>
            <c:dLbl>
              <c:idx val="0"/>
              <c:layout>
                <c:manualLayout>
                  <c:x val="0.10928333894521194"/>
                  <c:y val="-0.15113985738067212"/>
                </c:manualLayout>
              </c:layout>
              <c:dLblPos val="bestFit"/>
              <c:showLegendKey val="0"/>
              <c:showVal val="0"/>
              <c:showCatName val="1"/>
              <c:showSerName val="0"/>
              <c:showPercent val="1"/>
              <c:showBubbleSize val="0"/>
            </c:dLbl>
            <c:dLbl>
              <c:idx val="1"/>
              <c:layout>
                <c:manualLayout>
                  <c:x val="0.2259861052224951"/>
                  <c:y val="-8.7793512305738244E-2"/>
                </c:manualLayout>
              </c:layout>
              <c:dLblPos val="bestFit"/>
              <c:showLegendKey val="0"/>
              <c:showVal val="0"/>
              <c:showCatName val="1"/>
              <c:showSerName val="0"/>
              <c:showPercent val="1"/>
              <c:showBubbleSize val="0"/>
            </c:dLbl>
            <c:dLbl>
              <c:idx val="2"/>
              <c:layout>
                <c:manualLayout>
                  <c:x val="0.22870872890828989"/>
                  <c:y val="0.13129831183714005"/>
                </c:manualLayout>
              </c:layout>
              <c:dLblPos val="bestFit"/>
              <c:showLegendKey val="0"/>
              <c:showVal val="0"/>
              <c:showCatName val="1"/>
              <c:showSerName val="0"/>
              <c:showPercent val="1"/>
              <c:showBubbleSize val="0"/>
            </c:dLbl>
            <c:dLbl>
              <c:idx val="3"/>
              <c:layout>
                <c:manualLayout>
                  <c:x val="0.20028175775531593"/>
                  <c:y val="0.2391384357913055"/>
                </c:manualLayout>
              </c:layout>
              <c:dLblPos val="bestFit"/>
              <c:showLegendKey val="0"/>
              <c:showVal val="0"/>
              <c:showCatName val="1"/>
              <c:showSerName val="0"/>
              <c:showPercent val="1"/>
              <c:showBubbleSize val="0"/>
            </c:dLbl>
            <c:dLbl>
              <c:idx val="4"/>
              <c:layout>
                <c:manualLayout>
                  <c:x val="3.6862678331447039E-2"/>
                  <c:y val="0.20469862609037481"/>
                </c:manualLayout>
              </c:layout>
              <c:dLblPos val="bestFit"/>
              <c:showLegendKey val="0"/>
              <c:showVal val="0"/>
              <c:showCatName val="1"/>
              <c:showSerName val="0"/>
              <c:showPercent val="1"/>
              <c:showBubbleSize val="0"/>
            </c:dLbl>
            <c:dLbl>
              <c:idx val="5"/>
              <c:layout>
                <c:manualLayout>
                  <c:x val="-4.8422979933656449E-2"/>
                  <c:y val="5.239385332626819E-2"/>
                </c:manualLayout>
              </c:layout>
              <c:dLblPos val="bestFit"/>
              <c:showLegendKey val="0"/>
              <c:showVal val="0"/>
              <c:showCatName val="1"/>
              <c:showSerName val="0"/>
              <c:showPercent val="1"/>
              <c:showBubbleSize val="0"/>
            </c:dLbl>
            <c:dLbl>
              <c:idx val="6"/>
              <c:layout>
                <c:manualLayout>
                  <c:x val="-4.4524144783574041E-2"/>
                  <c:y val="0.27300376207328975"/>
                </c:manualLayout>
              </c:layout>
              <c:dLblPos val="bestFit"/>
              <c:showLegendKey val="0"/>
              <c:showVal val="0"/>
              <c:showCatName val="1"/>
              <c:showSerName val="0"/>
              <c:showPercent val="1"/>
              <c:showBubbleSize val="0"/>
            </c:dLbl>
            <c:dLbl>
              <c:idx val="7"/>
              <c:layout>
                <c:manualLayout>
                  <c:x val="-9.480804857817067E-2"/>
                  <c:y val="0.11819432714666028"/>
                </c:manualLayout>
              </c:layout>
              <c:dLblPos val="bestFit"/>
              <c:showLegendKey val="0"/>
              <c:showVal val="0"/>
              <c:showCatName val="1"/>
              <c:showSerName val="0"/>
              <c:showPercent val="1"/>
              <c:showBubbleSize val="0"/>
            </c:dLbl>
            <c:dLbl>
              <c:idx val="8"/>
              <c:layout>
                <c:manualLayout>
                  <c:x val="-0.20798089998259225"/>
                  <c:y val="7.7557849050497521E-2"/>
                </c:manualLayout>
              </c:layout>
              <c:dLblPos val="bestFit"/>
              <c:showLegendKey val="0"/>
              <c:showVal val="0"/>
              <c:showCatName val="1"/>
              <c:showSerName val="0"/>
              <c:showPercent val="1"/>
              <c:showBubbleSize val="0"/>
            </c:dLbl>
            <c:dLbl>
              <c:idx val="9"/>
              <c:layout>
                <c:manualLayout>
                  <c:x val="-0.33546477469846059"/>
                  <c:y val="-4.5756604317935996E-2"/>
                </c:manualLayout>
              </c:layout>
              <c:dLblPos val="bestFit"/>
              <c:showLegendKey val="0"/>
              <c:showVal val="0"/>
              <c:showCatName val="1"/>
              <c:showSerName val="0"/>
              <c:showPercent val="1"/>
              <c:showBubbleSize val="0"/>
            </c:dLbl>
            <c:dLbl>
              <c:idx val="10"/>
              <c:layout>
                <c:manualLayout>
                  <c:x val="-0.21513776157596809"/>
                  <c:y val="-0.1429861836140722"/>
                </c:manualLayout>
              </c:layout>
              <c:dLblPos val="bestFit"/>
              <c:showLegendKey val="0"/>
              <c:showVal val="0"/>
              <c:showCatName val="1"/>
              <c:showSerName val="0"/>
              <c:showPercent val="1"/>
              <c:showBubbleSize val="0"/>
            </c:dLbl>
            <c:dLbl>
              <c:idx val="11"/>
              <c:layout>
                <c:manualLayout>
                  <c:x val="2.0795786254706464E-2"/>
                  <c:y val="-8.5300888212071435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('Гор ок бюдж'!$B$5;'Гор ок бюдж'!$B$13;'Гор ок бюдж'!$B$15;'Гор ок бюдж'!$B$17;'Гор ок бюдж'!$B$21;'Гор ок бюдж'!$B$26;'Гор ок бюдж'!$B$30;'Гор ок бюдж'!$B$33;'Гор ок бюдж'!$B$38;'Гор ок бюдж'!$B$43;'Гор ок бюдж'!$B$47;'Гор ок бюдж'!$B$49)</c:f>
              <c:strCache>
                <c:ptCount val="12"/>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Образование</c:v>
                </c:pt>
                <c:pt idx="6">
                  <c:v>Культура, кинематография </c:v>
                </c:pt>
                <c:pt idx="7">
                  <c:v>Здравоохранение</c:v>
                </c:pt>
                <c:pt idx="8">
                  <c:v>Социальная политика</c:v>
                </c:pt>
                <c:pt idx="9">
                  <c:v>Физическая культура и спорт</c:v>
                </c:pt>
                <c:pt idx="10">
                  <c:v>Средства массовой информации</c:v>
                </c:pt>
                <c:pt idx="11">
                  <c:v>Обслуживание государственного и муниципального долга</c:v>
                </c:pt>
              </c:strCache>
            </c:strRef>
          </c:cat>
          <c:val>
            <c:numRef>
              <c:f>('Гор ок бюдж'!$F$5;'Гор ок бюдж'!$F$13;'Гор ок бюдж'!$F$15;'Гор ок бюдж'!$F$17;'Гор ок бюдж'!$F$21;'Гор ок бюдж'!$F$26;'Гор ок бюдж'!$F$30;'Гор ок бюдж'!$F$33;'Гор ок бюдж'!$F$38;'Гор ок бюдж'!$F$43;'Гор ок бюдж'!$F$47;'Гор ок бюдж'!$F$49)</c:f>
              <c:numCache>
                <c:formatCode>#,##0.0</c:formatCode>
                <c:ptCount val="12"/>
                <c:pt idx="0">
                  <c:v>428293.65243000002</c:v>
                </c:pt>
                <c:pt idx="1">
                  <c:v>567.22</c:v>
                </c:pt>
                <c:pt idx="2">
                  <c:v>21222.574509999999</c:v>
                </c:pt>
                <c:pt idx="3">
                  <c:v>543534.62147999997</c:v>
                </c:pt>
                <c:pt idx="4">
                  <c:v>1704178.3035200001</c:v>
                </c:pt>
                <c:pt idx="5">
                  <c:v>2481437.4829799999</c:v>
                </c:pt>
                <c:pt idx="6">
                  <c:v>79949.444569999992</c:v>
                </c:pt>
                <c:pt idx="7">
                  <c:v>396152.35501</c:v>
                </c:pt>
                <c:pt idx="8">
                  <c:v>1012705.7833799999</c:v>
                </c:pt>
                <c:pt idx="9">
                  <c:v>88649.103240000011</c:v>
                </c:pt>
                <c:pt idx="10">
                  <c:v>2837.7</c:v>
                </c:pt>
                <c:pt idx="11">
                  <c:v>1230.03279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Расходы бюджетов поселений за 2012 год по ФКР</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7699837157188392"/>
          <c:y val="0.27607824269699632"/>
          <c:w val="0.61972493782916249"/>
          <c:h val="0.54620221894168952"/>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Lbls>
            <c:dLbl>
              <c:idx val="0"/>
              <c:layout>
                <c:manualLayout>
                  <c:x val="3.894866623490216E-2"/>
                  <c:y val="0.13000297837836761"/>
                </c:manualLayout>
              </c:layout>
              <c:dLblPos val="bestFit"/>
              <c:showLegendKey val="0"/>
              <c:showVal val="0"/>
              <c:showCatName val="1"/>
              <c:showSerName val="0"/>
              <c:showPercent val="1"/>
              <c:showBubbleSize val="0"/>
            </c:dLbl>
            <c:dLbl>
              <c:idx val="1"/>
              <c:layout>
                <c:manualLayout>
                  <c:x val="0.26490555619436734"/>
                  <c:y val="3.467196001203305E-2"/>
                </c:manualLayout>
              </c:layout>
              <c:dLblPos val="bestFit"/>
              <c:showLegendKey val="0"/>
              <c:showVal val="0"/>
              <c:showCatName val="1"/>
              <c:showSerName val="0"/>
              <c:showPercent val="1"/>
              <c:showBubbleSize val="0"/>
            </c:dLbl>
            <c:dLbl>
              <c:idx val="2"/>
              <c:layout>
                <c:manualLayout>
                  <c:x val="-5.8290720974798566E-2"/>
                  <c:y val="-6.9249787329838967E-3"/>
                </c:manualLayout>
              </c:layout>
              <c:dLblPos val="bestFit"/>
              <c:showLegendKey val="0"/>
              <c:showVal val="0"/>
              <c:showCatName val="1"/>
              <c:showSerName val="0"/>
              <c:showPercent val="1"/>
              <c:showBubbleSize val="0"/>
            </c:dLbl>
            <c:dLbl>
              <c:idx val="3"/>
              <c:layout>
                <c:manualLayout>
                  <c:x val="-0.21436546136185541"/>
                  <c:y val="-0.11338855784727991"/>
                </c:manualLayout>
              </c:layout>
              <c:dLblPos val="bestFit"/>
              <c:showLegendKey val="0"/>
              <c:showVal val="0"/>
              <c:showCatName val="1"/>
              <c:showSerName val="0"/>
              <c:showPercent val="1"/>
              <c:showBubbleSize val="0"/>
            </c:dLbl>
            <c:dLbl>
              <c:idx val="4"/>
              <c:layout>
                <c:manualLayout>
                  <c:x val="-4.4679497620023781E-2"/>
                  <c:y val="-0.19397610523736381"/>
                </c:manualLayout>
              </c:layout>
              <c:dLblPos val="bestFit"/>
              <c:showLegendKey val="0"/>
              <c:showVal val="0"/>
              <c:showCatName val="1"/>
              <c:showSerName val="0"/>
              <c:showPercent val="1"/>
              <c:showBubbleSize val="0"/>
            </c:dLbl>
            <c:dLbl>
              <c:idx val="5"/>
              <c:layout>
                <c:manualLayout>
                  <c:x val="-5.0889487105740233E-2"/>
                  <c:y val="-7.7596966636185608E-2"/>
                </c:manualLayout>
              </c:layout>
              <c:dLblPos val="bestFit"/>
              <c:showLegendKey val="0"/>
              <c:showVal val="0"/>
              <c:showCatName val="1"/>
              <c:showSerName val="0"/>
              <c:showPercent val="1"/>
              <c:showBubbleSize val="0"/>
            </c:dLbl>
            <c:dLbl>
              <c:idx val="6"/>
              <c:layout>
                <c:manualLayout>
                  <c:x val="0.15530309188514277"/>
                  <c:y val="-4.8479831696719398E-2"/>
                </c:manualLayout>
              </c:layout>
              <c:dLblPos val="bestFit"/>
              <c:showLegendKey val="0"/>
              <c:showVal val="0"/>
              <c:showCatName val="1"/>
              <c:showSerName val="0"/>
              <c:showPercent val="1"/>
              <c:showBubbleSize val="0"/>
            </c:dLbl>
            <c:dLbl>
              <c:idx val="7"/>
              <c:layout>
                <c:manualLayout>
                  <c:x val="0.39898572782814867"/>
                  <c:y val="0.12097171835497887"/>
                </c:manualLayout>
              </c:layout>
              <c:tx>
                <c:rich>
                  <a:bodyPr/>
                  <a:lstStyle/>
                  <a:p>
                    <a:r>
                      <a:rPr lang="ru-RU"/>
                      <a:t>Межбюджетные трансферты общего характера бюджетам субъектов РФ и муниципальных образований
1%</a:t>
                    </a:r>
                  </a:p>
                </c:rich>
              </c:tx>
              <c:dLblPos val="bestFit"/>
              <c:showLegendKey val="0"/>
              <c:showVal val="0"/>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('Посел бюдж'!$B$5;'Посел бюдж'!$B$11;'Посел бюдж'!$B$13;'Посел бюдж'!$B$15;'Посел бюдж'!$B$17;'Посел бюдж'!$B$21;'Посел бюдж'!$B$24;'Посел бюдж'!$B$27)</c:f>
              <c:strCache>
                <c:ptCount val="8"/>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Культура, кинематография </c:v>
                </c:pt>
                <c:pt idx="6">
                  <c:v>Физическая культура и спорт</c:v>
                </c:pt>
                <c:pt idx="7">
                  <c:v>Межбюджетные трансферты общего характера бюджетам субъектов Российской Федерации и муниципальных образований</c:v>
                </c:pt>
              </c:strCache>
            </c:strRef>
          </c:cat>
          <c:val>
            <c:numRef>
              <c:f>('Посел бюдж'!$F$5;'Посел бюдж'!$F$11;'Посел бюдж'!$F$13;'Посел бюдж'!$F$15;'Посел бюдж'!$F$17;'Посел бюдж'!$F$21;'Посел бюдж'!$F$24;'Посел бюдж'!$F$27)</c:f>
              <c:numCache>
                <c:formatCode>#,##0.0</c:formatCode>
                <c:ptCount val="8"/>
                <c:pt idx="0">
                  <c:v>508810.90886999998</c:v>
                </c:pt>
                <c:pt idx="1">
                  <c:v>28887.513200000001</c:v>
                </c:pt>
                <c:pt idx="2">
                  <c:v>8609.8297000000002</c:v>
                </c:pt>
                <c:pt idx="3">
                  <c:v>15597.57749</c:v>
                </c:pt>
                <c:pt idx="4">
                  <c:v>253077.01459000001</c:v>
                </c:pt>
                <c:pt idx="5">
                  <c:v>152989.15156999999</c:v>
                </c:pt>
                <c:pt idx="6">
                  <c:v>39960.392</c:v>
                </c:pt>
                <c:pt idx="7">
                  <c:v>11228.3</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b="1" i="0" baseline="0">
                <a:effectLst/>
                <a:latin typeface="Times New Roman" pitchFamily="18" charset="0"/>
                <a:cs typeface="Times New Roman" pitchFamily="18" charset="0"/>
              </a:rPr>
              <a:t>Расходы консолидированного бюджета за 2012 год по КОСГУ</a:t>
            </a:r>
            <a:endParaRPr lang="ru-RU" sz="1400">
              <a:effectLst/>
              <a:latin typeface="Times New Roman" pitchFamily="18" charset="0"/>
              <a:cs typeface="Times New Roman" pitchFamily="18" charset="0"/>
            </a:endParaRP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3490632213471613"/>
          <c:y val="0.24591795747710157"/>
          <c:w val="0.5198708695148867"/>
          <c:h val="0.5054737448354194"/>
        </c:manualLayout>
      </c:layout>
      <c:pie3DChart>
        <c:varyColors val="1"/>
        <c:ser>
          <c:idx val="0"/>
          <c:order val="0"/>
          <c:explosion val="30"/>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Lbls>
            <c:dLbl>
              <c:idx val="0"/>
              <c:layout>
                <c:manualLayout>
                  <c:x val="-7.2162889512763895E-2"/>
                  <c:y val="-1.6822601296101049E-2"/>
                </c:manualLayout>
              </c:layout>
              <c:dLblPos val="bestFit"/>
              <c:showLegendKey val="0"/>
              <c:showVal val="0"/>
              <c:showCatName val="1"/>
              <c:showSerName val="0"/>
              <c:showPercent val="1"/>
              <c:showBubbleSize val="0"/>
            </c:dLbl>
            <c:dLbl>
              <c:idx val="1"/>
              <c:layout>
                <c:manualLayout>
                  <c:x val="0.14784276866815083"/>
                  <c:y val="-9.1883918649937987E-2"/>
                </c:manualLayout>
              </c:layout>
              <c:dLblPos val="bestFit"/>
              <c:showLegendKey val="0"/>
              <c:showVal val="0"/>
              <c:showCatName val="1"/>
              <c:showSerName val="0"/>
              <c:showPercent val="1"/>
              <c:showBubbleSize val="0"/>
            </c:dLbl>
            <c:dLbl>
              <c:idx val="2"/>
              <c:layout>
                <c:manualLayout>
                  <c:x val="0.12647230938682527"/>
                  <c:y val="8.4287391443790258E-2"/>
                </c:manualLayout>
              </c:layout>
              <c:dLblPos val="bestFit"/>
              <c:showLegendKey val="0"/>
              <c:showVal val="0"/>
              <c:showCatName val="1"/>
              <c:showSerName val="0"/>
              <c:showPercent val="1"/>
              <c:showBubbleSize val="0"/>
            </c:dLbl>
            <c:dLbl>
              <c:idx val="3"/>
              <c:layout>
                <c:manualLayout>
                  <c:x val="2.2677738391469766E-2"/>
                  <c:y val="8.2669567918860959E-2"/>
                </c:manualLayout>
              </c:layout>
              <c:dLblPos val="bestFit"/>
              <c:showLegendKey val="0"/>
              <c:showVal val="0"/>
              <c:showCatName val="1"/>
              <c:showSerName val="0"/>
              <c:showPercent val="1"/>
              <c:showBubbleSize val="0"/>
            </c:dLbl>
            <c:dLbl>
              <c:idx val="4"/>
              <c:layout>
                <c:manualLayout>
                  <c:x val="3.0216566447158116E-2"/>
                  <c:y val="8.4376572709527822E-2"/>
                </c:manualLayout>
              </c:layout>
              <c:dLblPos val="bestFit"/>
              <c:showLegendKey val="0"/>
              <c:showVal val="0"/>
              <c:showCatName val="1"/>
              <c:showSerName val="0"/>
              <c:showPercent val="1"/>
              <c:showBubbleSize val="0"/>
            </c:dLbl>
            <c:dLbl>
              <c:idx val="5"/>
              <c:layout>
                <c:manualLayout>
                  <c:x val="8.0384773396407136E-2"/>
                  <c:y val="6.0271253402914261E-2"/>
                </c:manualLayout>
              </c:layout>
              <c:dLblPos val="bestFit"/>
              <c:showLegendKey val="0"/>
              <c:showVal val="0"/>
              <c:showCatName val="1"/>
              <c:showSerName val="0"/>
              <c:showPercent val="1"/>
              <c:showBubbleSize val="0"/>
            </c:dLbl>
            <c:dLbl>
              <c:idx val="6"/>
              <c:layout>
                <c:manualLayout>
                  <c:x val="-5.1458106953864456E-2"/>
                  <c:y val="0.18171017847139123"/>
                </c:manualLayout>
              </c:layout>
              <c:dLblPos val="bestFit"/>
              <c:showLegendKey val="0"/>
              <c:showVal val="0"/>
              <c:showCatName val="1"/>
              <c:showSerName val="0"/>
              <c:showPercent val="1"/>
              <c:showBubbleSize val="0"/>
            </c:dLbl>
            <c:dLbl>
              <c:idx val="7"/>
              <c:layout>
                <c:manualLayout>
                  <c:x val="-8.1908579067237766E-2"/>
                  <c:y val="7.4784981037467016E-2"/>
                </c:manualLayout>
              </c:layout>
              <c:dLblPos val="bestFit"/>
              <c:showLegendKey val="0"/>
              <c:showVal val="0"/>
              <c:showCatName val="1"/>
              <c:showSerName val="0"/>
              <c:showPercent val="1"/>
              <c:showBubbleSize val="0"/>
            </c:dLbl>
            <c:dLbl>
              <c:idx val="8"/>
              <c:layout>
                <c:manualLayout>
                  <c:x val="-0.27398914860046913"/>
                  <c:y val="-2.1969993225573334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('Конс бюдж'!$B$6;'Конс бюдж'!$B$10;'Конс бюдж'!$B$17;'Конс бюдж'!$B$19;'Конс бюдж'!$B$22;'Конс бюдж'!$B$24;'Конс бюдж'!$B$28;'Конс бюдж'!$B$29;'Конс бюдж'!$B$34)</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('Конс бюдж'!$E$6;'Конс бюдж'!$E$10;'Конс бюдж'!$E$17;'Конс бюдж'!$E$19;'Конс бюдж'!$E$22;'Конс бюдж'!$E$24;'Конс бюдж'!$E$28;'Конс бюдж'!$E$29;'Конс бюдж'!$E$34)</c:f>
              <c:numCache>
                <c:formatCode>#,##0.0</c:formatCode>
                <c:ptCount val="9"/>
                <c:pt idx="0">
                  <c:v>4886965.6000899998</c:v>
                </c:pt>
                <c:pt idx="1">
                  <c:v>8889269.8291999996</c:v>
                </c:pt>
                <c:pt idx="2">
                  <c:v>153398.92298999999</c:v>
                </c:pt>
                <c:pt idx="3">
                  <c:v>21422161.065949999</c:v>
                </c:pt>
                <c:pt idx="4">
                  <c:v>181158.49299999999</c:v>
                </c:pt>
                <c:pt idx="5">
                  <c:v>13677944.649880001</c:v>
                </c:pt>
                <c:pt idx="6">
                  <c:v>391900.98136999999</c:v>
                </c:pt>
                <c:pt idx="7">
                  <c:v>27547350.538029999</c:v>
                </c:pt>
                <c:pt idx="8">
                  <c:v>381731.44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a:latin typeface="Times New Roman" pitchFamily="18" charset="0"/>
                <a:cs typeface="Times New Roman" pitchFamily="18" charset="0"/>
              </a:rPr>
              <a:t>Расходы республиканского бюджета за 2012 год по КОСГУ</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014270968267419"/>
          <c:y val="0.32421849889640431"/>
          <c:w val="0.58930012392287967"/>
          <c:h val="0.53150543258459615"/>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Lbls>
            <c:dLbl>
              <c:idx val="0"/>
              <c:layout>
                <c:manualLayout>
                  <c:x val="-3.955038173008369E-2"/>
                  <c:y val="-6.4277786909762477E-2"/>
                </c:manualLayout>
              </c:layout>
              <c:dLblPos val="bestFit"/>
              <c:showLegendKey val="0"/>
              <c:showVal val="0"/>
              <c:showCatName val="1"/>
              <c:showSerName val="0"/>
              <c:showPercent val="1"/>
              <c:showBubbleSize val="0"/>
            </c:dLbl>
            <c:dLbl>
              <c:idx val="1"/>
              <c:layout>
                <c:manualLayout>
                  <c:x val="0.1262971805978621"/>
                  <c:y val="-0.13522121106246254"/>
                </c:manualLayout>
              </c:layout>
              <c:dLblPos val="bestFit"/>
              <c:showLegendKey val="0"/>
              <c:showVal val="0"/>
              <c:showCatName val="1"/>
              <c:showSerName val="0"/>
              <c:showPercent val="1"/>
              <c:showBubbleSize val="0"/>
            </c:dLbl>
            <c:dLbl>
              <c:idx val="2"/>
              <c:layout>
                <c:manualLayout>
                  <c:x val="0.14222092605099507"/>
                  <c:y val="3.3977387308343952E-2"/>
                </c:manualLayout>
              </c:layout>
              <c:dLblPos val="bestFit"/>
              <c:showLegendKey val="0"/>
              <c:showVal val="0"/>
              <c:showCatName val="1"/>
              <c:showSerName val="0"/>
              <c:showPercent val="1"/>
              <c:showBubbleSize val="0"/>
            </c:dLbl>
            <c:dLbl>
              <c:idx val="3"/>
              <c:layout>
                <c:manualLayout>
                  <c:x val="7.8473161111020609E-2"/>
                  <c:y val="0.19765647181383275"/>
                </c:manualLayout>
              </c:layout>
              <c:dLblPos val="bestFit"/>
              <c:showLegendKey val="0"/>
              <c:showVal val="0"/>
              <c:showCatName val="1"/>
              <c:showSerName val="0"/>
              <c:showPercent val="1"/>
              <c:showBubbleSize val="0"/>
            </c:dLbl>
            <c:dLbl>
              <c:idx val="4"/>
              <c:layout>
                <c:manualLayout>
                  <c:x val="-0.10263357983153426"/>
                  <c:y val="6.9798201889194306E-2"/>
                </c:manualLayout>
              </c:layout>
              <c:dLblPos val="bestFit"/>
              <c:showLegendKey val="0"/>
              <c:showVal val="0"/>
              <c:showCatName val="1"/>
              <c:showSerName val="0"/>
              <c:showPercent val="1"/>
              <c:showBubbleSize val="0"/>
            </c:dLbl>
            <c:dLbl>
              <c:idx val="5"/>
              <c:layout>
                <c:manualLayout>
                  <c:x val="-4.9197790438767187E-2"/>
                  <c:y val="7.0762919208501238E-2"/>
                </c:manualLayout>
              </c:layout>
              <c:dLblPos val="bestFit"/>
              <c:showLegendKey val="0"/>
              <c:showVal val="0"/>
              <c:showCatName val="1"/>
              <c:showSerName val="0"/>
              <c:showPercent val="1"/>
              <c:showBubbleSize val="0"/>
            </c:dLbl>
            <c:dLbl>
              <c:idx val="6"/>
              <c:layout>
                <c:manualLayout>
                  <c:x val="-3.9683044367899337E-2"/>
                  <c:y val="-7.3162615030392909E-3"/>
                </c:manualLayout>
              </c:layout>
              <c:showLegendKey val="0"/>
              <c:showVal val="0"/>
              <c:showCatName val="1"/>
              <c:showSerName val="0"/>
              <c:showPercent val="1"/>
              <c:showBubbleSize val="0"/>
            </c:dLbl>
            <c:dLbl>
              <c:idx val="7"/>
              <c:layout>
                <c:manualLayout>
                  <c:x val="-9.5246761903926558E-2"/>
                  <c:y val="-0.11959223434997228"/>
                </c:manualLayout>
              </c:layout>
              <c:dLblPos val="bestFit"/>
              <c:showLegendKey val="0"/>
              <c:showVal val="0"/>
              <c:showCatName val="1"/>
              <c:showSerName val="0"/>
              <c:showPercent val="1"/>
              <c:showBubbleSize val="0"/>
            </c:dLbl>
            <c:dLbl>
              <c:idx val="8"/>
              <c:layout>
                <c:manualLayout>
                  <c:x val="-0.18832737943832487"/>
                  <c:y val="-5.9002583284293392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('Республ. бюджет'!$B$6;'Республ. бюджет'!$B$10;'Республ. бюджет'!$B$17;'Республ. бюджет'!$B$19;'Республ. бюджет'!$B$22;'Республ. бюджет'!$B$24;'Республ. бюджет'!$B$27;'Республ. бюджет'!$B$28;'Республ. бюджет'!$B$33)</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('Республ. бюджет'!$E$6;'Республ. бюджет'!$E$10;'Республ. бюджет'!$E$17;'Республ. бюджет'!$E$19;'Республ. бюджет'!$E$22;'Республ. бюджет'!$E$24;'Республ. бюджет'!$E$27;'Республ. бюджет'!$E$28;'Республ. бюджет'!$E$33)</c:f>
              <c:numCache>
                <c:formatCode>#,##0.0</c:formatCode>
                <c:ptCount val="9"/>
                <c:pt idx="0">
                  <c:v>2811286.80761</c:v>
                </c:pt>
                <c:pt idx="1">
                  <c:v>6284879.6792799998</c:v>
                </c:pt>
                <c:pt idx="2">
                  <c:v>142530.74880999999</c:v>
                </c:pt>
                <c:pt idx="3">
                  <c:v>10573228.44472</c:v>
                </c:pt>
                <c:pt idx="4">
                  <c:v>18757974.325679999</c:v>
                </c:pt>
                <c:pt idx="5">
                  <c:v>9928870.2343100011</c:v>
                </c:pt>
                <c:pt idx="6">
                  <c:v>322326.14185000001</c:v>
                </c:pt>
                <c:pt idx="7">
                  <c:v>24347573.85698</c:v>
                </c:pt>
                <c:pt idx="8">
                  <c:v>378731.44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a:latin typeface="Times New Roman" pitchFamily="18" charset="0"/>
                <a:cs typeface="Times New Roman" pitchFamily="18" charset="0"/>
              </a:rPr>
              <a:t>Расходы районных бюджетов за 2012 год по КОСГУ</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2680751947998254"/>
          <c:y val="0.30353342260450511"/>
          <c:w val="0.55831272398836218"/>
          <c:h val="0.54425798622637822"/>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Lbls>
            <c:dLbl>
              <c:idx val="0"/>
              <c:layout>
                <c:manualLayout>
                  <c:x val="0.24452925746683715"/>
                  <c:y val="-3.4769261678148422E-2"/>
                </c:manualLayout>
              </c:layout>
              <c:dLblPos val="bestFit"/>
              <c:showLegendKey val="0"/>
              <c:showVal val="0"/>
              <c:showCatName val="1"/>
              <c:showSerName val="0"/>
              <c:showPercent val="1"/>
              <c:showBubbleSize val="0"/>
            </c:dLbl>
            <c:dLbl>
              <c:idx val="1"/>
              <c:layout>
                <c:manualLayout>
                  <c:x val="0.13738901028888487"/>
                  <c:y val="7.4803654734689598E-2"/>
                </c:manualLayout>
              </c:layout>
              <c:dLblPos val="bestFit"/>
              <c:showLegendKey val="0"/>
              <c:showVal val="0"/>
              <c:showCatName val="1"/>
              <c:showSerName val="0"/>
              <c:showPercent val="1"/>
              <c:showBubbleSize val="0"/>
            </c:dLbl>
            <c:dLbl>
              <c:idx val="2"/>
              <c:layout>
                <c:manualLayout>
                  <c:x val="0.12484642345339092"/>
                  <c:y val="0.31118530228940594"/>
                </c:manualLayout>
              </c:layout>
              <c:dLblPos val="bestFit"/>
              <c:showLegendKey val="0"/>
              <c:showVal val="0"/>
              <c:showCatName val="1"/>
              <c:showSerName val="0"/>
              <c:showPercent val="1"/>
              <c:showBubbleSize val="0"/>
            </c:dLbl>
            <c:dLbl>
              <c:idx val="3"/>
              <c:layout>
                <c:manualLayout>
                  <c:x val="-2.4687892332485424E-2"/>
                  <c:y val="8.2842211161233123E-2"/>
                </c:manualLayout>
              </c:layout>
              <c:dLblPos val="bestFit"/>
              <c:showLegendKey val="0"/>
              <c:showVal val="0"/>
              <c:showCatName val="1"/>
              <c:showSerName val="0"/>
              <c:showPercent val="1"/>
              <c:showBubbleSize val="0"/>
            </c:dLbl>
            <c:dLbl>
              <c:idx val="4"/>
              <c:layout>
                <c:manualLayout>
                  <c:x val="-4.6456132984893393E-2"/>
                  <c:y val="0.13744218301422617"/>
                </c:manualLayout>
              </c:layout>
              <c:dLblPos val="bestFit"/>
              <c:showLegendKey val="0"/>
              <c:showVal val="0"/>
              <c:showCatName val="1"/>
              <c:showSerName val="0"/>
              <c:showPercent val="1"/>
              <c:showBubbleSize val="0"/>
            </c:dLbl>
            <c:dLbl>
              <c:idx val="5"/>
              <c:layout>
                <c:manualLayout>
                  <c:x val="-7.5745714922567514E-2"/>
                  <c:y val="-8.233496827991453E-3"/>
                </c:manualLayout>
              </c:layout>
              <c:dLblPos val="bestFit"/>
              <c:showLegendKey val="0"/>
              <c:showVal val="0"/>
              <c:showCatName val="1"/>
              <c:showSerName val="0"/>
              <c:showPercent val="1"/>
              <c:showBubbleSize val="0"/>
            </c:dLbl>
            <c:dLbl>
              <c:idx val="6"/>
              <c:layout>
                <c:manualLayout>
                  <c:x val="-0.13255999764438409"/>
                  <c:y val="-0.12010765484210574"/>
                </c:manualLayout>
              </c:layout>
              <c:dLblPos val="bestFit"/>
              <c:showLegendKey val="0"/>
              <c:showVal val="0"/>
              <c:showCatName val="1"/>
              <c:showSerName val="0"/>
              <c:showPercent val="1"/>
              <c:showBubbleSize val="0"/>
            </c:dLbl>
            <c:dLbl>
              <c:idx val="7"/>
              <c:layout>
                <c:manualLayout>
                  <c:x val="6.140315679995679E-3"/>
                  <c:y val="-6.3489154699630179E-2"/>
                </c:manualLayout>
              </c:layout>
              <c:dLblPos val="bestFit"/>
              <c:showLegendKey val="0"/>
              <c:showVal val="0"/>
              <c:showCatName val="1"/>
              <c:showSerName val="0"/>
              <c:showPercent val="1"/>
              <c:showBubbleSize val="0"/>
            </c:dLbl>
            <c:dLbl>
              <c:idx val="8"/>
              <c:layout>
                <c:manualLayout>
                  <c:x val="5.0904341397096889E-2"/>
                  <c:y val="-7.3164812660782313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('Рай бюдж'!$B$6;'Рай бюдж'!$B$10;'Рай бюдж'!$B$17;'Рай бюдж'!$B$19;'Рай бюдж'!$B$22;'Рай бюдж'!$B$24;'Рай бюдж'!$B$28;'Рай бюдж'!$B$29;'Рай бюдж'!$B$32)</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('Рай бюдж'!$E$6;'Рай бюдж'!$E$10;'Рай бюдж'!$E$17;'Рай бюдж'!$E$19;'Рай бюдж'!$E$22;'Рай бюдж'!$E$24;'Рай бюдж'!$E$28;'Рай бюдж'!$E$29;'Рай бюдж'!$E$32)</c:f>
              <c:numCache>
                <c:formatCode>#,##0.0</c:formatCode>
                <c:ptCount val="9"/>
                <c:pt idx="0">
                  <c:v>1190852.3971799999</c:v>
                </c:pt>
                <c:pt idx="1">
                  <c:v>878066.42637</c:v>
                </c:pt>
                <c:pt idx="2">
                  <c:v>9638.1413900000007</c:v>
                </c:pt>
                <c:pt idx="3">
                  <c:v>8045447.2387500005</c:v>
                </c:pt>
                <c:pt idx="4">
                  <c:v>725259.03570000001</c:v>
                </c:pt>
                <c:pt idx="5">
                  <c:v>2923444.27862</c:v>
                </c:pt>
                <c:pt idx="6">
                  <c:v>31719.14142</c:v>
                </c:pt>
                <c:pt idx="7">
                  <c:v>1710437.3888900001</c:v>
                </c:pt>
                <c:pt idx="8">
                  <c:v>3000</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Расходы бюджетов городских округов за 2012 год по КОСГУ</a:t>
            </a:r>
          </a:p>
        </c:rich>
      </c:tx>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4399425276462494"/>
          <c:y val="0.28529630244610099"/>
          <c:w val="0.54452147070610524"/>
          <c:h val="0.52949616037174041"/>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Pt>
            <c:idx val="6"/>
            <c:bubble3D val="0"/>
          </c:dPt>
          <c:dLbls>
            <c:dLbl>
              <c:idx val="0"/>
              <c:layout>
                <c:manualLayout>
                  <c:x val="2.4244697981341948E-2"/>
                  <c:y val="-2.4645851734276442E-2"/>
                </c:manualLayout>
              </c:layout>
              <c:dLblPos val="bestFit"/>
              <c:showLegendKey val="0"/>
              <c:showVal val="0"/>
              <c:showCatName val="1"/>
              <c:showSerName val="0"/>
              <c:showPercent val="1"/>
              <c:showBubbleSize val="0"/>
            </c:dLbl>
            <c:dLbl>
              <c:idx val="1"/>
              <c:layout>
                <c:manualLayout>
                  <c:x val="5.3519170967775885E-2"/>
                  <c:y val="-4.618839685928644E-2"/>
                </c:manualLayout>
              </c:layout>
              <c:dLblPos val="bestFit"/>
              <c:showLegendKey val="0"/>
              <c:showVal val="0"/>
              <c:showCatName val="1"/>
              <c:showSerName val="0"/>
              <c:showPercent val="1"/>
              <c:showBubbleSize val="0"/>
            </c:dLbl>
            <c:dLbl>
              <c:idx val="2"/>
              <c:layout>
                <c:manualLayout>
                  <c:x val="2.1680334325548306E-2"/>
                  <c:y val="0.15043921471115884"/>
                </c:manualLayout>
              </c:layout>
              <c:dLblPos val="bestFit"/>
              <c:showLegendKey val="0"/>
              <c:showVal val="0"/>
              <c:showCatName val="1"/>
              <c:showSerName val="0"/>
              <c:showPercent val="1"/>
              <c:showBubbleSize val="0"/>
            </c:dLbl>
            <c:dLbl>
              <c:idx val="3"/>
              <c:layout>
                <c:manualLayout>
                  <c:x val="4.9335035024213006E-2"/>
                  <c:y val="1.2682377835996883E-2"/>
                </c:manualLayout>
              </c:layout>
              <c:dLblPos val="bestFit"/>
              <c:showLegendKey val="0"/>
              <c:showVal val="0"/>
              <c:showCatName val="1"/>
              <c:showSerName val="0"/>
              <c:showPercent val="1"/>
              <c:showBubbleSize val="0"/>
            </c:dLbl>
            <c:dLbl>
              <c:idx val="4"/>
              <c:layout>
                <c:manualLayout>
                  <c:x val="-7.6448417280400985E-2"/>
                  <c:y val="0.11043480084422695"/>
                </c:manualLayout>
              </c:layout>
              <c:dLblPos val="bestFit"/>
              <c:showLegendKey val="0"/>
              <c:showVal val="0"/>
              <c:showCatName val="1"/>
              <c:showSerName val="0"/>
              <c:showPercent val="1"/>
              <c:showBubbleSize val="0"/>
            </c:dLbl>
            <c:dLbl>
              <c:idx val="5"/>
              <c:layout>
                <c:manualLayout>
                  <c:x val="-5.234867761363176E-2"/>
                  <c:y val="-0.13360860084912016"/>
                </c:manualLayout>
              </c:layout>
              <c:dLblPos val="bestFit"/>
              <c:showLegendKey val="0"/>
              <c:showVal val="0"/>
              <c:showCatName val="1"/>
              <c:showSerName val="0"/>
              <c:showPercent val="1"/>
              <c:showBubbleSize val="0"/>
            </c:dLbl>
            <c:dLbl>
              <c:idx val="6"/>
              <c:layout>
                <c:manualLayout>
                  <c:x val="0.10056578391004413"/>
                  <c:y val="-7.7000881407089675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('Гор округ бюджеты'!$B$6;'Гор округ бюджеты'!$B$10;'Гор округ бюджеты'!$B$17;'Гор округ бюджеты'!$B$19;'Гор округ бюджеты'!$B$22;'Гор округ бюджеты'!$B$25;'Гор округ бюджеты'!$B$26)</c:f>
              <c:strCache>
                <c:ptCount val="7"/>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Социальное обеспечение</c:v>
                </c:pt>
                <c:pt idx="5">
                  <c:v>Прочие расходы</c:v>
                </c:pt>
                <c:pt idx="6">
                  <c:v>Поступление нефинансовых активов</c:v>
                </c:pt>
              </c:strCache>
            </c:strRef>
          </c:cat>
          <c:val>
            <c:numRef>
              <c:f>('Гор округ бюджеты'!$E$6;'Гор округ бюджеты'!$E$10;'Гор округ бюджеты'!$E$17;'Гор округ бюджеты'!$E$19;'Гор округ бюджеты'!$E$22;'Гор округ бюджеты'!$E$25;'Гор округ бюджеты'!$E$26)</c:f>
              <c:numCache>
                <c:formatCode>#,##0.0</c:formatCode>
                <c:ptCount val="7"/>
                <c:pt idx="0">
                  <c:v>437602.16151999997</c:v>
                </c:pt>
                <c:pt idx="1">
                  <c:v>1343362.2600699998</c:v>
                </c:pt>
                <c:pt idx="2">
                  <c:v>1230.03279</c:v>
                </c:pt>
                <c:pt idx="3">
                  <c:v>2795487.2829700001</c:v>
                </c:pt>
                <c:pt idx="4">
                  <c:v>825630.13695000007</c:v>
                </c:pt>
                <c:pt idx="5">
                  <c:v>33590.78039</c:v>
                </c:pt>
                <c:pt idx="6">
                  <c:v>1323855.6192200002</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Расходы бюджетов поселений за 2012 год по КОСГУ</a:t>
            </a:r>
          </a:p>
        </c:rich>
      </c:tx>
      <c:layout>
        <c:manualLayout>
          <c:xMode val="edge"/>
          <c:yMode val="edge"/>
          <c:x val="0.17002572367555388"/>
          <c:y val="2.8243841922422599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20632056648339664"/>
          <c:y val="0.31595627911852958"/>
          <c:w val="0.62496404610409051"/>
          <c:h val="0.54855378300629509"/>
        </c:manualLayout>
      </c:layout>
      <c:pie3DChart>
        <c:varyColors val="1"/>
        <c:ser>
          <c:idx val="0"/>
          <c:order val="0"/>
          <c:explosion val="10"/>
          <c:dPt>
            <c:idx val="0"/>
            <c:bubble3D val="0"/>
            <c:explosion val="19"/>
          </c:dPt>
          <c:dPt>
            <c:idx val="1"/>
            <c:bubble3D val="0"/>
          </c:dPt>
          <c:dPt>
            <c:idx val="2"/>
            <c:bubble3D val="0"/>
          </c:dPt>
          <c:dPt>
            <c:idx val="3"/>
            <c:bubble3D val="0"/>
          </c:dPt>
          <c:dPt>
            <c:idx val="4"/>
            <c:bubble3D val="0"/>
          </c:dPt>
          <c:dPt>
            <c:idx val="5"/>
            <c:bubble3D val="0"/>
            <c:explosion val="18"/>
          </c:dPt>
          <c:dLbls>
            <c:dLbl>
              <c:idx val="0"/>
              <c:layout>
                <c:manualLayout>
                  <c:x val="8.9740105295718769E-2"/>
                  <c:y val="2.569687909608941E-2"/>
                </c:manualLayout>
              </c:layout>
              <c:dLblPos val="bestFit"/>
              <c:showLegendKey val="0"/>
              <c:showVal val="0"/>
              <c:showCatName val="1"/>
              <c:showSerName val="0"/>
              <c:showPercent val="1"/>
              <c:showBubbleSize val="0"/>
            </c:dLbl>
            <c:dLbl>
              <c:idx val="1"/>
              <c:layout>
                <c:manualLayout>
                  <c:x val="0.1004823597559254"/>
                  <c:y val="0.12334281596653263"/>
                </c:manualLayout>
              </c:layout>
              <c:dLblPos val="bestFit"/>
              <c:showLegendKey val="0"/>
              <c:showVal val="0"/>
              <c:showCatName val="1"/>
              <c:showSerName val="0"/>
              <c:showPercent val="1"/>
              <c:showBubbleSize val="0"/>
            </c:dLbl>
            <c:dLbl>
              <c:idx val="2"/>
              <c:layout>
                <c:manualLayout>
                  <c:x val="-8.7718302150746816E-2"/>
                  <c:y val="0.21207525752308765"/>
                </c:manualLayout>
              </c:layout>
              <c:dLblPos val="bestFit"/>
              <c:showLegendKey val="0"/>
              <c:showVal val="0"/>
              <c:showCatName val="1"/>
              <c:showSerName val="0"/>
              <c:showPercent val="1"/>
              <c:showBubbleSize val="0"/>
            </c:dLbl>
            <c:dLbl>
              <c:idx val="3"/>
              <c:layout>
                <c:manualLayout>
                  <c:x val="-9.2517699503554485E-2"/>
                  <c:y val="-6.9126529628337902E-2"/>
                </c:manualLayout>
              </c:layout>
              <c:dLblPos val="bestFit"/>
              <c:showLegendKey val="0"/>
              <c:showVal val="0"/>
              <c:showCatName val="1"/>
              <c:showSerName val="0"/>
              <c:showPercent val="1"/>
              <c:showBubbleSize val="0"/>
            </c:dLbl>
            <c:dLbl>
              <c:idx val="4"/>
              <c:layout>
                <c:manualLayout>
                  <c:x val="7.5406457927593581E-2"/>
                  <c:y val="-0.19620570658213193"/>
                </c:manualLayout>
              </c:layout>
              <c:dLblPos val="bestFit"/>
              <c:showLegendKey val="0"/>
              <c:showVal val="0"/>
              <c:showCatName val="1"/>
              <c:showSerName val="0"/>
              <c:showPercent val="1"/>
              <c:showBubbleSize val="0"/>
            </c:dLbl>
            <c:dLbl>
              <c:idx val="5"/>
              <c:layout>
                <c:manualLayout>
                  <c:x val="0.19841533540425721"/>
                  <c:y val="-5.5922195868736341E-2"/>
                </c:manualLayout>
              </c:layout>
              <c:dLblPos val="bestFit"/>
              <c:showLegendKey val="0"/>
              <c:showVal val="0"/>
              <c:showCatName val="1"/>
              <c:showSerName val="0"/>
              <c:showPercent val="1"/>
              <c:showBubbleSize val="0"/>
            </c:dLbl>
            <c:txPr>
              <a:bodyPr/>
              <a:lstStyle/>
              <a:p>
                <a:pPr>
                  <a:defRPr b="1">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('Поселен. бюджет'!$B$6;'Поселен. бюджет'!$B$10;'Поселен. бюджет'!$B$17;'Поселен. бюджет'!$B$20;'Поселен. бюджет'!$B$22;'Поселен. бюджет'!$B$23)</c:f>
              <c:strCache>
                <c:ptCount val="6"/>
                <c:pt idx="0">
                  <c:v>Оплата труда и начисления на оплату труда</c:v>
                </c:pt>
                <c:pt idx="1">
                  <c:v>Приобретение услуг</c:v>
                </c:pt>
                <c:pt idx="2">
                  <c:v>Безвозмездные и безвозвратные перечисления организациям</c:v>
                </c:pt>
                <c:pt idx="3">
                  <c:v>Безвозмездные перечисления бюджетам</c:v>
                </c:pt>
                <c:pt idx="4">
                  <c:v>Прочие расходы</c:v>
                </c:pt>
                <c:pt idx="5">
                  <c:v>Поступление нефинансовых активов</c:v>
                </c:pt>
              </c:strCache>
            </c:strRef>
          </c:cat>
          <c:val>
            <c:numRef>
              <c:f>('Поселен. бюджет'!$E$6;'Поселен. бюджет'!$E$10;'Поселен. бюджет'!$E$17;'Поселен. бюджет'!$E$20;'Поселен. бюджет'!$E$22;'Поселен. бюджет'!$E$23)</c:f>
              <c:numCache>
                <c:formatCode>#,##0.0</c:formatCode>
                <c:ptCount val="6"/>
                <c:pt idx="0">
                  <c:v>447224.23378000001</c:v>
                </c:pt>
                <c:pt idx="1">
                  <c:v>382961.46347999998</c:v>
                </c:pt>
                <c:pt idx="2">
                  <c:v>7998.09951</c:v>
                </c:pt>
                <c:pt idx="3">
                  <c:v>11228.3</c:v>
                </c:pt>
                <c:pt idx="4">
                  <c:v>4264.9177099999997</c:v>
                </c:pt>
                <c:pt idx="5">
                  <c:v>165483.67293999999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ln>
      <a:noFill/>
    </a:ln>
  </c:sp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Times New Roman" pitchFamily="18" charset="0"/>
                <a:ea typeface="Arial Cyr"/>
                <a:cs typeface="Times New Roman" pitchFamily="18" charset="0"/>
              </a:defRPr>
            </a:pPr>
            <a:r>
              <a:rPr lang="ru-RU">
                <a:latin typeface="Times New Roman" pitchFamily="18" charset="0"/>
                <a:cs typeface="Times New Roman" pitchFamily="18" charset="0"/>
              </a:rPr>
              <a:t>Соотношение капитальных и текущих расходов консолидированного бюджета Чеченской Республики в динаимке лет</a:t>
            </a:r>
          </a:p>
        </c:rich>
      </c:tx>
      <c:layout>
        <c:manualLayout>
          <c:xMode val="edge"/>
          <c:yMode val="edge"/>
          <c:x val="0.16865687311474126"/>
          <c:y val="1.2987012987012988E-2"/>
        </c:manualLayout>
      </c:layout>
      <c:overlay val="0"/>
      <c:spPr>
        <a:noFill/>
        <a:ln w="25400">
          <a:noFill/>
        </a:ln>
      </c:spPr>
    </c:title>
    <c:autoTitleDeleted val="0"/>
    <c:view3D>
      <c:rotX val="15"/>
      <c:hPercent val="41"/>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5671653212200631"/>
          <c:y val="0.20259765954451545"/>
          <c:w val="0.82238865904024239"/>
          <c:h val="0.65714369057387734"/>
        </c:manualLayout>
      </c:layout>
      <c:bar3DChart>
        <c:barDir val="col"/>
        <c:grouping val="clustered"/>
        <c:varyColors val="0"/>
        <c:ser>
          <c:idx val="0"/>
          <c:order val="0"/>
          <c:tx>
            <c:strRef>
              <c:f>'2008'!$A$7</c:f>
              <c:strCache>
                <c:ptCount val="1"/>
                <c:pt idx="0">
                  <c:v>Капитальные расходы</c:v>
                </c:pt>
              </c:strCache>
            </c:strRef>
          </c:tx>
          <c:spPr>
            <a:solidFill>
              <a:schemeClr val="accent6">
                <a:lumMod val="40000"/>
                <a:lumOff val="60000"/>
              </a:schemeClr>
            </a:solidFill>
            <a:ln w="12700">
              <a:solidFill>
                <a:srgbClr val="000000"/>
              </a:solidFill>
              <a:prstDash val="solid"/>
            </a:ln>
          </c:spPr>
          <c:invertIfNegative val="0"/>
          <c:dLbls>
            <c:dLbl>
              <c:idx val="0"/>
              <c:layout>
                <c:manualLayout>
                  <c:x val="-4.5008030712578835E-3"/>
                  <c:y val="-8.0728090806830959E-3"/>
                </c:manualLayout>
              </c:layout>
              <c:showLegendKey val="0"/>
              <c:showVal val="1"/>
              <c:showCatName val="0"/>
              <c:showSerName val="0"/>
              <c:showPercent val="0"/>
              <c:showBubbleSize val="0"/>
            </c:dLbl>
            <c:dLbl>
              <c:idx val="1"/>
              <c:layout>
                <c:manualLayout>
                  <c:x val="3.9315234849375173E-4"/>
                  <c:y val="0.25050714115281053"/>
                </c:manualLayout>
              </c:layout>
              <c:showLegendKey val="0"/>
              <c:showVal val="1"/>
              <c:showCatName val="0"/>
              <c:showSerName val="0"/>
              <c:showPercent val="0"/>
              <c:showBubbleSize val="0"/>
            </c:dLbl>
            <c:dLbl>
              <c:idx val="2"/>
              <c:layout>
                <c:manualLayout>
                  <c:x val="2.3017197477181025E-3"/>
                  <c:y val="0.24896887889013875"/>
                </c:manualLayout>
              </c:layout>
              <c:showLegendKey val="0"/>
              <c:showVal val="1"/>
              <c:showCatName val="0"/>
              <c:showSerName val="0"/>
              <c:showPercent val="0"/>
              <c:showBubbleSize val="0"/>
            </c:dLbl>
            <c:dLbl>
              <c:idx val="3"/>
              <c:layout>
                <c:manualLayout>
                  <c:x val="1.7230383515493399E-3"/>
                  <c:y val="0.25145256842894637"/>
                </c:manualLayout>
              </c:layout>
              <c:showLegendKey val="0"/>
              <c:showVal val="1"/>
              <c:showCatName val="0"/>
              <c:showSerName val="0"/>
              <c:showPercent val="0"/>
              <c:showBubbleSize val="0"/>
            </c:dLbl>
            <c:dLbl>
              <c:idx val="4"/>
              <c:layout>
                <c:manualLayout>
                  <c:x val="3.1340933129627453E-3"/>
                  <c:y val="0.24099396666325801"/>
                </c:manualLayout>
              </c:layout>
              <c:showLegendKey val="0"/>
              <c:showVal val="1"/>
              <c:showCatName val="0"/>
              <c:showSerName val="0"/>
              <c:showPercent val="0"/>
              <c:showBubbleSize val="0"/>
            </c:dLbl>
            <c:dLbl>
              <c:idx val="5"/>
              <c:layout>
                <c:manualLayout>
                  <c:x val="3.0529243546049281E-3"/>
                  <c:y val="0.24735371714899274"/>
                </c:manualLayout>
              </c:layout>
              <c:showLegendKey val="0"/>
              <c:showVal val="1"/>
              <c:showCatName val="0"/>
              <c:showSerName val="0"/>
              <c:showPercent val="0"/>
              <c:showBubbleSize val="0"/>
            </c:dLbl>
            <c:dLbl>
              <c:idx val="6"/>
              <c:layout>
                <c:manualLayout>
                  <c:x val="-1.5061699377130098E-3"/>
                  <c:y val="0.24012516617241034"/>
                </c:manualLayout>
              </c:layout>
              <c:showLegendKey val="0"/>
              <c:showVal val="1"/>
              <c:showCatName val="0"/>
              <c:showSerName val="0"/>
              <c:showPercent val="0"/>
              <c:showBubbleSize val="0"/>
            </c:dLbl>
            <c:spPr>
              <a:noFill/>
              <a:ln w="25400">
                <a:noFill/>
              </a:ln>
            </c:spPr>
            <c:txPr>
              <a:bodyPr rot="-5400000" vert="horz"/>
              <a:lstStyle/>
              <a:p>
                <a:pPr algn="ctr">
                  <a:defRPr sz="107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numRef>
              <c:f>'2008'!$H$7:$H$13</c:f>
              <c:numCache>
                <c:formatCode>General</c:formatCode>
                <c:ptCount val="7"/>
                <c:pt idx="0">
                  <c:v>2006</c:v>
                </c:pt>
                <c:pt idx="1">
                  <c:v>2007</c:v>
                </c:pt>
                <c:pt idx="2">
                  <c:v>2008</c:v>
                </c:pt>
                <c:pt idx="3">
                  <c:v>2009</c:v>
                </c:pt>
                <c:pt idx="4">
                  <c:v>2010</c:v>
                </c:pt>
                <c:pt idx="5">
                  <c:v>2011</c:v>
                </c:pt>
                <c:pt idx="6">
                  <c:v>2012</c:v>
                </c:pt>
              </c:numCache>
            </c:numRef>
          </c:cat>
          <c:val>
            <c:numRef>
              <c:f>('2008'!$D$7;'2008'!$D$11;'2008'!$D$15;'2008'!$D$19;'2008'!$D$23;'2008'!$D$27;'2008'!$D$31)</c:f>
              <c:numCache>
                <c:formatCode>#,##0.0</c:formatCode>
                <c:ptCount val="7"/>
                <c:pt idx="0">
                  <c:v>9005556.9000000004</c:v>
                </c:pt>
                <c:pt idx="1">
                  <c:v>35722745.80979</c:v>
                </c:pt>
                <c:pt idx="2">
                  <c:v>30528592.29603</c:v>
                </c:pt>
                <c:pt idx="3">
                  <c:v>31064035.763599999</c:v>
                </c:pt>
                <c:pt idx="4">
                  <c:v>23430830.040630002</c:v>
                </c:pt>
                <c:pt idx="5">
                  <c:v>33384963.173439998</c:v>
                </c:pt>
                <c:pt idx="6">
                  <c:v>26085264.070689999</c:v>
                </c:pt>
              </c:numCache>
            </c:numRef>
          </c:val>
        </c:ser>
        <c:ser>
          <c:idx val="1"/>
          <c:order val="1"/>
          <c:tx>
            <c:strRef>
              <c:f>'2008'!$A$6</c:f>
              <c:strCache>
                <c:ptCount val="1"/>
                <c:pt idx="0">
                  <c:v>Текущие расходы</c:v>
                </c:pt>
              </c:strCache>
            </c:strRef>
          </c:tx>
          <c:spPr>
            <a:solidFill>
              <a:schemeClr val="accent3">
                <a:lumMod val="40000"/>
                <a:lumOff val="60000"/>
              </a:schemeClr>
            </a:solidFill>
            <a:ln w="12700">
              <a:solidFill>
                <a:srgbClr val="000000"/>
              </a:solidFill>
              <a:prstDash val="solid"/>
            </a:ln>
          </c:spPr>
          <c:invertIfNegative val="0"/>
          <c:dLbls>
            <c:dLbl>
              <c:idx val="0"/>
              <c:layout>
                <c:manualLayout>
                  <c:x val="5.7816429662710068E-3"/>
                  <c:y val="-1.3420595152878618E-2"/>
                </c:manualLayout>
              </c:layout>
              <c:showLegendKey val="0"/>
              <c:showVal val="1"/>
              <c:showCatName val="0"/>
              <c:showSerName val="0"/>
              <c:showPercent val="0"/>
              <c:showBubbleSize val="0"/>
            </c:dLbl>
            <c:dLbl>
              <c:idx val="1"/>
              <c:layout>
                <c:manualLayout>
                  <c:x val="2.2177302464057662E-3"/>
                  <c:y val="0.24700657872311416"/>
                </c:manualLayout>
              </c:layout>
              <c:showLegendKey val="0"/>
              <c:showVal val="1"/>
              <c:showCatName val="0"/>
              <c:showSerName val="0"/>
              <c:showPercent val="0"/>
              <c:showBubbleSize val="0"/>
            </c:dLbl>
            <c:dLbl>
              <c:idx val="2"/>
              <c:layout>
                <c:manualLayout>
                  <c:x val="1.141379715595252E-3"/>
                  <c:y val="0.2488265330470055"/>
                </c:manualLayout>
              </c:layout>
              <c:showLegendKey val="0"/>
              <c:showVal val="1"/>
              <c:showCatName val="0"/>
              <c:showSerName val="0"/>
              <c:showPercent val="0"/>
              <c:showBubbleSize val="0"/>
            </c:dLbl>
            <c:dLbl>
              <c:idx val="3"/>
              <c:layout>
                <c:manualLayout>
                  <c:x val="5.6254162259568297E-4"/>
                  <c:y val="0.27582697617343288"/>
                </c:manualLayout>
              </c:layout>
              <c:showLegendKey val="0"/>
              <c:showVal val="1"/>
              <c:showCatName val="0"/>
              <c:showSerName val="0"/>
              <c:showPercent val="0"/>
              <c:showBubbleSize val="0"/>
            </c:dLbl>
            <c:dLbl>
              <c:idx val="4"/>
              <c:layout>
                <c:manualLayout>
                  <c:x val="1.9735965840090883E-3"/>
                  <c:y val="0.26364249923305039"/>
                </c:manualLayout>
              </c:layout>
              <c:showLegendKey val="0"/>
              <c:showVal val="1"/>
              <c:showCatName val="0"/>
              <c:showSerName val="0"/>
              <c:showPercent val="0"/>
              <c:showBubbleSize val="0"/>
            </c:dLbl>
            <c:dLbl>
              <c:idx val="5"/>
              <c:layout>
                <c:manualLayout>
                  <c:x val="1.8924276256512712E-3"/>
                  <c:y val="0.25405106179909331"/>
                </c:manualLayout>
              </c:layout>
              <c:showLegendKey val="0"/>
              <c:showVal val="1"/>
              <c:showCatName val="0"/>
              <c:showSerName val="0"/>
              <c:showPercent val="0"/>
              <c:showBubbleSize val="0"/>
            </c:dLbl>
            <c:dLbl>
              <c:idx val="6"/>
              <c:layout>
                <c:manualLayout>
                  <c:x val="3.8009950248756217E-3"/>
                  <c:y val="0.2592145072774994"/>
                </c:manualLayout>
              </c:layout>
              <c:showLegendKey val="0"/>
              <c:showVal val="1"/>
              <c:showCatName val="0"/>
              <c:showSerName val="0"/>
              <c:showPercent val="0"/>
              <c:showBubbleSize val="0"/>
            </c:dLbl>
            <c:spPr>
              <a:noFill/>
              <a:ln w="25400">
                <a:noFill/>
              </a:ln>
            </c:spPr>
            <c:txPr>
              <a:bodyPr rot="-5400000" vert="horz"/>
              <a:lstStyle/>
              <a:p>
                <a:pPr algn="ctr">
                  <a:defRPr sz="107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numRef>
              <c:f>'2008'!$H$7:$H$13</c:f>
              <c:numCache>
                <c:formatCode>General</c:formatCode>
                <c:ptCount val="7"/>
                <c:pt idx="0">
                  <c:v>2006</c:v>
                </c:pt>
                <c:pt idx="1">
                  <c:v>2007</c:v>
                </c:pt>
                <c:pt idx="2">
                  <c:v>2008</c:v>
                </c:pt>
                <c:pt idx="3">
                  <c:v>2009</c:v>
                </c:pt>
                <c:pt idx="4">
                  <c:v>2010</c:v>
                </c:pt>
                <c:pt idx="5">
                  <c:v>2011</c:v>
                </c:pt>
                <c:pt idx="6">
                  <c:v>2012</c:v>
                </c:pt>
              </c:numCache>
            </c:numRef>
          </c:cat>
          <c:val>
            <c:numRef>
              <c:f>('2008'!$D$6;'2008'!$D$10;'2008'!$D$14;'2008'!$D$18;'2008'!$D$22;'2008'!$D$26;'2008'!$D$30)</c:f>
              <c:numCache>
                <c:formatCode>#,##0.0</c:formatCode>
                <c:ptCount val="7"/>
                <c:pt idx="0">
                  <c:v>18370560.5</c:v>
                </c:pt>
                <c:pt idx="1">
                  <c:v>24877825.5</c:v>
                </c:pt>
                <c:pt idx="2">
                  <c:v>33403186.300000001</c:v>
                </c:pt>
                <c:pt idx="3">
                  <c:v>42991798.546180002</c:v>
                </c:pt>
                <c:pt idx="4">
                  <c:v>42289388.942089997</c:v>
                </c:pt>
                <c:pt idx="5">
                  <c:v>47406881.144079998</c:v>
                </c:pt>
                <c:pt idx="6">
                  <c:v>51446617.449820004</c:v>
                </c:pt>
              </c:numCache>
            </c:numRef>
          </c:val>
        </c:ser>
        <c:dLbls>
          <c:showLegendKey val="0"/>
          <c:showVal val="0"/>
          <c:showCatName val="0"/>
          <c:showSerName val="0"/>
          <c:showPercent val="0"/>
          <c:showBubbleSize val="0"/>
        </c:dLbls>
        <c:gapWidth val="150"/>
        <c:shape val="box"/>
        <c:axId val="226248576"/>
        <c:axId val="226250112"/>
        <c:axId val="0"/>
      </c:bar3DChart>
      <c:catAx>
        <c:axId val="22624857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075" b="1" i="0" u="none" strike="noStrike" baseline="0">
                <a:solidFill>
                  <a:srgbClr val="000000"/>
                </a:solidFill>
                <a:latin typeface="Times New Roman" pitchFamily="18" charset="0"/>
                <a:ea typeface="Arial Cyr"/>
                <a:cs typeface="Times New Roman" pitchFamily="18" charset="0"/>
              </a:defRPr>
            </a:pPr>
            <a:endParaRPr lang="ru-RU"/>
          </a:p>
        </c:txPr>
        <c:crossAx val="226250112"/>
        <c:crosses val="autoZero"/>
        <c:auto val="1"/>
        <c:lblAlgn val="ctr"/>
        <c:lblOffset val="100"/>
        <c:tickLblSkip val="1"/>
        <c:tickMarkSkip val="1"/>
        <c:noMultiLvlLbl val="0"/>
      </c:catAx>
      <c:valAx>
        <c:axId val="226250112"/>
        <c:scaling>
          <c:orientation val="minMax"/>
        </c:scaling>
        <c:delete val="0"/>
        <c:axPos val="l"/>
        <c:majorGridlines>
          <c:spPr>
            <a:ln w="3175">
              <a:solidFill>
                <a:srgbClr val="000000"/>
              </a:solidFill>
              <a:prstDash val="solid"/>
            </a:ln>
          </c:spPr>
        </c:majorGridlines>
        <c:numFmt formatCode="#,##0.0" sourceLinked="1"/>
        <c:majorTickMark val="out"/>
        <c:minorTickMark val="none"/>
        <c:tickLblPos val="nextTo"/>
        <c:spPr>
          <a:ln w="3175">
            <a:solidFill>
              <a:srgbClr val="000000"/>
            </a:solidFill>
            <a:prstDash val="solid"/>
          </a:ln>
        </c:spPr>
        <c:txPr>
          <a:bodyPr rot="0" vert="horz"/>
          <a:lstStyle/>
          <a:p>
            <a:pPr>
              <a:defRPr sz="1075" b="1" i="0" u="none" strike="noStrike" baseline="0">
                <a:solidFill>
                  <a:srgbClr val="000000"/>
                </a:solidFill>
                <a:latin typeface="Times New Roman" pitchFamily="18" charset="0"/>
                <a:ea typeface="Arial Cyr"/>
                <a:cs typeface="Times New Roman" pitchFamily="18" charset="0"/>
              </a:defRPr>
            </a:pPr>
            <a:endParaRPr lang="ru-RU"/>
          </a:p>
        </c:txPr>
        <c:crossAx val="226248576"/>
        <c:crosses val="autoZero"/>
        <c:crossBetween val="between"/>
      </c:valAx>
      <c:spPr>
        <a:noFill/>
        <a:ln w="25400">
          <a:noFill/>
        </a:ln>
      </c:spPr>
    </c:plotArea>
    <c:legend>
      <c:legendPos val="b"/>
      <c:layout>
        <c:manualLayout>
          <c:xMode val="edge"/>
          <c:yMode val="edge"/>
          <c:x val="0.28955239550280093"/>
          <c:y val="0.9194816102532638"/>
          <c:w val="0.42089583578172135"/>
          <c:h val="6.2337662337662358E-2"/>
        </c:manualLayout>
      </c:layout>
      <c:overlay val="0"/>
      <c:spPr>
        <a:solidFill>
          <a:srgbClr val="FFFFFF"/>
        </a:solidFill>
        <a:ln w="3175">
          <a:noFill/>
          <a:prstDash val="solid"/>
        </a:ln>
      </c:spPr>
      <c:txPr>
        <a:bodyPr/>
        <a:lstStyle/>
        <a:p>
          <a:pPr>
            <a:defRPr sz="92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pPr>
            <a:r>
              <a:rPr lang="ru-RU" sz="1300">
                <a:latin typeface="Times New Roman" pitchFamily="18" charset="0"/>
                <a:cs typeface="Times New Roman" pitchFamily="18" charset="0"/>
              </a:rPr>
              <a:t>Динамика сводного индекса уверенности </a:t>
            </a:r>
          </a:p>
          <a:p>
            <a:pPr>
              <a:defRPr sz="1300"/>
            </a:pPr>
            <a:r>
              <a:rPr lang="ru-RU" sz="1300">
                <a:latin typeface="Times New Roman" pitchFamily="18" charset="0"/>
                <a:cs typeface="Times New Roman" pitchFamily="18" charset="0"/>
              </a:rPr>
              <a:t>(Еврокомиссия, ЕС)</a:t>
            </a:r>
          </a:p>
        </c:rich>
      </c:tx>
      <c:layout>
        <c:manualLayout>
          <c:xMode val="edge"/>
          <c:yMode val="edge"/>
          <c:x val="0.18068505587744929"/>
          <c:y val="6.4012630056748982E-4"/>
        </c:manualLayout>
      </c:layout>
      <c:overlay val="0"/>
    </c:title>
    <c:autoTitleDeleted val="0"/>
    <c:plotArea>
      <c:layout/>
      <c:lineChart>
        <c:grouping val="standard"/>
        <c:varyColors val="0"/>
        <c:ser>
          <c:idx val="0"/>
          <c:order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Лист11!$C$8:$C$19</c:f>
              <c:numCache>
                <c:formatCode>mmm\-yy</c:formatCode>
                <c:ptCount val="12"/>
                <c:pt idx="0">
                  <c:v>40909</c:v>
                </c:pt>
                <c:pt idx="1">
                  <c:v>40940</c:v>
                </c:pt>
                <c:pt idx="2">
                  <c:v>40969</c:v>
                </c:pt>
                <c:pt idx="3">
                  <c:v>41000</c:v>
                </c:pt>
                <c:pt idx="4">
                  <c:v>41030</c:v>
                </c:pt>
                <c:pt idx="5">
                  <c:v>41061</c:v>
                </c:pt>
                <c:pt idx="6">
                  <c:v>41091</c:v>
                </c:pt>
                <c:pt idx="7">
                  <c:v>41122</c:v>
                </c:pt>
                <c:pt idx="8">
                  <c:v>41153</c:v>
                </c:pt>
                <c:pt idx="9">
                  <c:v>41183</c:v>
                </c:pt>
                <c:pt idx="10">
                  <c:v>41214</c:v>
                </c:pt>
                <c:pt idx="11">
                  <c:v>41244</c:v>
                </c:pt>
              </c:numCache>
            </c:numRef>
          </c:cat>
          <c:val>
            <c:numRef>
              <c:f>Лист11!$D$8:$D$19</c:f>
              <c:numCache>
                <c:formatCode>General</c:formatCode>
                <c:ptCount val="12"/>
                <c:pt idx="0">
                  <c:v>93.4</c:v>
                </c:pt>
                <c:pt idx="1">
                  <c:v>95.3</c:v>
                </c:pt>
                <c:pt idx="2">
                  <c:v>95.9</c:v>
                </c:pt>
                <c:pt idx="3">
                  <c:v>94.4</c:v>
                </c:pt>
                <c:pt idx="4">
                  <c:v>91.8</c:v>
                </c:pt>
                <c:pt idx="5">
                  <c:v>91.2</c:v>
                </c:pt>
                <c:pt idx="6">
                  <c:v>88.9</c:v>
                </c:pt>
                <c:pt idx="7">
                  <c:v>87.3</c:v>
                </c:pt>
                <c:pt idx="8">
                  <c:v>86</c:v>
                </c:pt>
                <c:pt idx="9">
                  <c:v>85.4</c:v>
                </c:pt>
                <c:pt idx="10">
                  <c:v>86.9</c:v>
                </c:pt>
                <c:pt idx="11">
                  <c:v>88</c:v>
                </c:pt>
              </c:numCache>
            </c:numRef>
          </c:val>
          <c:smooth val="0"/>
        </c:ser>
        <c:dLbls>
          <c:showLegendKey val="0"/>
          <c:showVal val="1"/>
          <c:showCatName val="0"/>
          <c:showSerName val="0"/>
          <c:showPercent val="0"/>
          <c:showBubbleSize val="0"/>
        </c:dLbls>
        <c:marker val="1"/>
        <c:smooth val="0"/>
        <c:axId val="109444096"/>
        <c:axId val="115197824"/>
      </c:lineChart>
      <c:dateAx>
        <c:axId val="109444096"/>
        <c:scaling>
          <c:orientation val="minMax"/>
        </c:scaling>
        <c:delete val="0"/>
        <c:axPos val="b"/>
        <c:numFmt formatCode="mmm\-yy"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5197824"/>
        <c:crosses val="autoZero"/>
        <c:auto val="1"/>
        <c:lblOffset val="100"/>
        <c:baseTimeUnit val="months"/>
      </c:dateAx>
      <c:valAx>
        <c:axId val="115197824"/>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09444096"/>
        <c:crosses val="autoZero"/>
        <c:crossBetween val="between"/>
      </c:valAx>
    </c:plotArea>
    <c:plotVisOnly val="1"/>
    <c:dispBlanksAs val="gap"/>
    <c:showDLblsOverMax val="0"/>
  </c:chart>
  <c:spPr>
    <a:ln>
      <a:noFill/>
    </a:ln>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25" b="0" i="0" u="none" strike="noStrike" baseline="0">
                <a:solidFill>
                  <a:srgbClr val="000000"/>
                </a:solidFill>
                <a:latin typeface="Times New Roman" pitchFamily="18" charset="0"/>
                <a:ea typeface="Arial Cyr"/>
                <a:cs typeface="Times New Roman" pitchFamily="18" charset="0"/>
              </a:defRPr>
            </a:pPr>
            <a:r>
              <a:rPr lang="ru-RU" sz="1200" b="1" i="0" u="none" strike="noStrike" baseline="0">
                <a:solidFill>
                  <a:srgbClr val="000000"/>
                </a:solidFill>
                <a:latin typeface="Times New Roman" pitchFamily="18" charset="0"/>
                <a:cs typeface="Times New Roman" pitchFamily="18" charset="0"/>
              </a:rPr>
              <a:t>Соотношение капитальных и текущих расходов консолидированного бюджета Чеченской Республики в 2012 году</a:t>
            </a:r>
          </a:p>
        </c:rich>
      </c:tx>
      <c:layout>
        <c:manualLayout>
          <c:xMode val="edge"/>
          <c:yMode val="edge"/>
          <c:x val="0.16989567809239942"/>
          <c:y val="1.2755102040816327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27719821162444125"/>
          <c:y val="0.40306122448979587"/>
          <c:w val="0.44709388971684061"/>
          <c:h val="0.3061224489795919"/>
        </c:manualLayout>
      </c:layout>
      <c:pie3DChart>
        <c:varyColors val="1"/>
        <c:ser>
          <c:idx val="0"/>
          <c:order val="0"/>
          <c:spPr>
            <a:solidFill>
              <a:srgbClr val="9999FF"/>
            </a:solidFill>
            <a:ln w="12700">
              <a:solidFill>
                <a:srgbClr val="000000"/>
              </a:solidFill>
              <a:prstDash val="solid"/>
            </a:ln>
          </c:spPr>
          <c:explosion val="25"/>
          <c:dPt>
            <c:idx val="0"/>
            <c:bubble3D val="0"/>
          </c:dPt>
          <c:dPt>
            <c:idx val="1"/>
            <c:bubble3D val="0"/>
            <c:spPr>
              <a:solidFill>
                <a:srgbClr val="993366"/>
              </a:solidFill>
              <a:ln w="12700">
                <a:solidFill>
                  <a:srgbClr val="000000"/>
                </a:solidFill>
                <a:prstDash val="solid"/>
              </a:ln>
            </c:spPr>
          </c:dPt>
          <c:dLbls>
            <c:dLbl>
              <c:idx val="0"/>
              <c:layout>
                <c:manualLayout>
                  <c:x val="3.0479677372668247E-2"/>
                  <c:y val="0.14861428035781243"/>
                </c:manualLayout>
              </c:layout>
              <c:dLblPos val="bestFit"/>
              <c:showLegendKey val="0"/>
              <c:showVal val="0"/>
              <c:showCatName val="1"/>
              <c:showSerName val="0"/>
              <c:showPercent val="1"/>
              <c:showBubbleSize val="0"/>
            </c:dLbl>
            <c:dLbl>
              <c:idx val="1"/>
              <c:layout>
                <c:manualLayout>
                  <c:x val="-7.3758209433954891E-2"/>
                  <c:y val="-0.14232819111896733"/>
                </c:manualLayout>
              </c:layout>
              <c:dLblPos val="bestFit"/>
              <c:showLegendKey val="0"/>
              <c:showVal val="0"/>
              <c:showCatName val="1"/>
              <c:showSerName val="0"/>
              <c:showPercent val="1"/>
              <c:showBubbleSize val="0"/>
            </c:dLbl>
            <c:numFmt formatCode="0%" sourceLinked="0"/>
            <c:spPr>
              <a:noFill/>
              <a:ln w="25400">
                <a:noFill/>
              </a:ln>
            </c:spPr>
            <c:txPr>
              <a:bodyPr/>
              <a:lstStyle/>
              <a:p>
                <a:pPr>
                  <a:defRPr sz="1025"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0"/>
            <c:showCatName val="1"/>
            <c:showSerName val="0"/>
            <c:showPercent val="1"/>
            <c:showBubbleSize val="0"/>
            <c:showLeaderLines val="1"/>
          </c:dLbls>
          <c:cat>
            <c:strRef>
              <c:f>'2008'!$A$26:$A$27</c:f>
              <c:strCache>
                <c:ptCount val="2"/>
                <c:pt idx="0">
                  <c:v>Текущие расходы</c:v>
                </c:pt>
                <c:pt idx="1">
                  <c:v>Капитальные расходы</c:v>
                </c:pt>
              </c:strCache>
            </c:strRef>
          </c:cat>
          <c:val>
            <c:numRef>
              <c:f>'2008'!$D$30:$D$31</c:f>
              <c:numCache>
                <c:formatCode>#,##0.0</c:formatCode>
                <c:ptCount val="2"/>
                <c:pt idx="0">
                  <c:v>51446617.449820004</c:v>
                </c:pt>
                <c:pt idx="1">
                  <c:v>26085264.070689999</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0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400">
                <a:latin typeface="Times New Roman" pitchFamily="18" charset="0"/>
                <a:cs typeface="Times New Roman" pitchFamily="18" charset="0"/>
              </a:rPr>
              <a:t>Динамика роста средней заработной платы по разделам</a:t>
            </a:r>
          </a:p>
        </c:rich>
      </c:tx>
      <c:layout>
        <c:manualLayout>
          <c:xMode val="edge"/>
          <c:yMode val="edge"/>
          <c:x val="0.19232361409369284"/>
          <c:y val="2.2675736961451247E-2"/>
        </c:manualLayout>
      </c:layout>
      <c:overlay val="0"/>
      <c:spPr>
        <a:noFill/>
        <a:ln w="25400">
          <a:noFill/>
        </a:ln>
      </c:spPr>
    </c:title>
    <c:autoTitleDeleted val="0"/>
    <c:plotArea>
      <c:layout>
        <c:manualLayout>
          <c:layoutTarget val="inner"/>
          <c:xMode val="edge"/>
          <c:yMode val="edge"/>
          <c:x val="0.11636377410484625"/>
          <c:y val="0.14739261663968747"/>
          <c:w val="0.53575820994106282"/>
          <c:h val="0.75283613422117324"/>
        </c:manualLayout>
      </c:layout>
      <c:lineChart>
        <c:grouping val="standard"/>
        <c:varyColors val="0"/>
        <c:ser>
          <c:idx val="0"/>
          <c:order val="0"/>
          <c:tx>
            <c:strRef>
              <c:f>Лист1!$A$4</c:f>
              <c:strCache>
                <c:ptCount val="1"/>
                <c:pt idx="0">
                  <c:v>Органы управления</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cat>
            <c:strRef>
              <c:f>(Лист1!$B$2,Лист1!$E$2,Лист1!$I$2)</c:f>
              <c:strCache>
                <c:ptCount val="3"/>
                <c:pt idx="0">
                  <c:v>2010г.</c:v>
                </c:pt>
                <c:pt idx="1">
                  <c:v>2011г.</c:v>
                </c:pt>
                <c:pt idx="2">
                  <c:v>2012г.</c:v>
                </c:pt>
              </c:strCache>
            </c:strRef>
          </c:cat>
          <c:val>
            <c:numRef>
              <c:f>(Лист1!$D$4,Лист1!$G$4,Лист1!$K$4)</c:f>
              <c:numCache>
                <c:formatCode>#,##0.0</c:formatCode>
                <c:ptCount val="3"/>
                <c:pt idx="0">
                  <c:v>21145.512965475653</c:v>
                </c:pt>
                <c:pt idx="1">
                  <c:v>21607.74209879222</c:v>
                </c:pt>
                <c:pt idx="2">
                  <c:v>23249.234303215926</c:v>
                </c:pt>
              </c:numCache>
            </c:numRef>
          </c:val>
          <c:smooth val="0"/>
        </c:ser>
        <c:ser>
          <c:idx val="1"/>
          <c:order val="1"/>
          <c:tx>
            <c:strRef>
              <c:f>Лист1!$A$5</c:f>
              <c:strCache>
                <c:ptCount val="1"/>
                <c:pt idx="0">
                  <c:v>Национальная безопасность и правоохранительная деятельность</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cat>
            <c:strRef>
              <c:f>(Лист1!$B$2,Лист1!$E$2,Лист1!$I$2)</c:f>
              <c:strCache>
                <c:ptCount val="3"/>
                <c:pt idx="0">
                  <c:v>2010г.</c:v>
                </c:pt>
                <c:pt idx="1">
                  <c:v>2011г.</c:v>
                </c:pt>
                <c:pt idx="2">
                  <c:v>2012г.</c:v>
                </c:pt>
              </c:strCache>
            </c:strRef>
          </c:cat>
          <c:val>
            <c:numRef>
              <c:f>(Лист1!$D$5,Лист1!$G$5,Лист1!$K$5)</c:f>
              <c:numCache>
                <c:formatCode>#,##0.0</c:formatCode>
                <c:ptCount val="3"/>
                <c:pt idx="0">
                  <c:v>17055.836426468708</c:v>
                </c:pt>
                <c:pt idx="1">
                  <c:v>18311.399018980592</c:v>
                </c:pt>
                <c:pt idx="2">
                  <c:v>13415.319476520401</c:v>
                </c:pt>
              </c:numCache>
            </c:numRef>
          </c:val>
          <c:smooth val="0"/>
        </c:ser>
        <c:ser>
          <c:idx val="2"/>
          <c:order val="2"/>
          <c:tx>
            <c:strRef>
              <c:f>Лист1!$A$6</c:f>
              <c:strCache>
                <c:ptCount val="1"/>
                <c:pt idx="0">
                  <c:v>Образование</c:v>
                </c:pt>
              </c:strCache>
            </c:strRef>
          </c:tx>
          <c:spPr>
            <a:ln w="12700">
              <a:solidFill>
                <a:srgbClr val="FFFF00"/>
              </a:solidFill>
              <a:prstDash val="solid"/>
            </a:ln>
          </c:spPr>
          <c:marker>
            <c:symbol val="triangle"/>
            <c:size val="5"/>
            <c:spPr>
              <a:solidFill>
                <a:srgbClr val="FFFF00"/>
              </a:solidFill>
              <a:ln>
                <a:solidFill>
                  <a:srgbClr val="FFFF00"/>
                </a:solidFill>
                <a:prstDash val="solid"/>
              </a:ln>
            </c:spPr>
          </c:marker>
          <c:cat>
            <c:strRef>
              <c:f>(Лист1!$B$2,Лист1!$E$2,Лист1!$I$2)</c:f>
              <c:strCache>
                <c:ptCount val="3"/>
                <c:pt idx="0">
                  <c:v>2010г.</c:v>
                </c:pt>
                <c:pt idx="1">
                  <c:v>2011г.</c:v>
                </c:pt>
                <c:pt idx="2">
                  <c:v>2012г.</c:v>
                </c:pt>
              </c:strCache>
            </c:strRef>
          </c:cat>
          <c:val>
            <c:numRef>
              <c:f>(Лист1!$D$6,Лист1!$G$6,Лист1!$K$6)</c:f>
              <c:numCache>
                <c:formatCode>#,##0.0</c:formatCode>
                <c:ptCount val="3"/>
                <c:pt idx="0">
                  <c:v>6997.4641449353512</c:v>
                </c:pt>
                <c:pt idx="1">
                  <c:v>7668.9044931927738</c:v>
                </c:pt>
                <c:pt idx="2">
                  <c:v>9519.8005251939267</c:v>
                </c:pt>
              </c:numCache>
            </c:numRef>
          </c:val>
          <c:smooth val="0"/>
        </c:ser>
        <c:ser>
          <c:idx val="3"/>
          <c:order val="3"/>
          <c:tx>
            <c:strRef>
              <c:f>Лист1!$A$7</c:f>
              <c:strCache>
                <c:ptCount val="1"/>
                <c:pt idx="0">
                  <c:v>Культура, кинематография и средства массовой информации</c:v>
                </c:pt>
              </c:strCache>
            </c:strRef>
          </c:tx>
          <c:spPr>
            <a:ln w="12700">
              <a:solidFill>
                <a:srgbClr val="FF6600"/>
              </a:solidFill>
              <a:prstDash val="solid"/>
            </a:ln>
          </c:spPr>
          <c:marker>
            <c:symbol val="x"/>
            <c:size val="5"/>
            <c:spPr>
              <a:noFill/>
              <a:ln>
                <a:solidFill>
                  <a:srgbClr val="00FFFF"/>
                </a:solidFill>
                <a:prstDash val="solid"/>
              </a:ln>
            </c:spPr>
          </c:marker>
          <c:cat>
            <c:strRef>
              <c:f>(Лист1!$B$2,Лист1!$E$2,Лист1!$I$2)</c:f>
              <c:strCache>
                <c:ptCount val="3"/>
                <c:pt idx="0">
                  <c:v>2010г.</c:v>
                </c:pt>
                <c:pt idx="1">
                  <c:v>2011г.</c:v>
                </c:pt>
                <c:pt idx="2">
                  <c:v>2012г.</c:v>
                </c:pt>
              </c:strCache>
            </c:strRef>
          </c:cat>
          <c:val>
            <c:numRef>
              <c:f>(Лист1!$D$7,Лист1!$G$7,Лист1!$K$7)</c:f>
              <c:numCache>
                <c:formatCode>#,##0.0</c:formatCode>
                <c:ptCount val="3"/>
                <c:pt idx="0">
                  <c:v>6108.5328812601538</c:v>
                </c:pt>
                <c:pt idx="1">
                  <c:v>6374.841634993666</c:v>
                </c:pt>
                <c:pt idx="2">
                  <c:v>6716.7600373482719</c:v>
                </c:pt>
              </c:numCache>
            </c:numRef>
          </c:val>
          <c:smooth val="1"/>
        </c:ser>
        <c:ser>
          <c:idx val="4"/>
          <c:order val="4"/>
          <c:tx>
            <c:strRef>
              <c:f>Лист1!$A$8</c:f>
              <c:strCache>
                <c:ptCount val="1"/>
                <c:pt idx="0">
                  <c:v>Здравоохранение и спорт</c:v>
                </c:pt>
              </c:strCache>
            </c:strRef>
          </c:tx>
          <c:spPr>
            <a:ln w="12700">
              <a:solidFill>
                <a:srgbClr val="800080"/>
              </a:solidFill>
              <a:prstDash val="solid"/>
            </a:ln>
          </c:spPr>
          <c:marker>
            <c:symbol val="star"/>
            <c:size val="5"/>
            <c:spPr>
              <a:noFill/>
              <a:ln>
                <a:solidFill>
                  <a:srgbClr val="800080"/>
                </a:solidFill>
                <a:prstDash val="solid"/>
              </a:ln>
            </c:spPr>
          </c:marker>
          <c:cat>
            <c:strRef>
              <c:f>(Лист1!$B$2,Лист1!$E$2,Лист1!$I$2)</c:f>
              <c:strCache>
                <c:ptCount val="3"/>
                <c:pt idx="0">
                  <c:v>2010г.</c:v>
                </c:pt>
                <c:pt idx="1">
                  <c:v>2011г.</c:v>
                </c:pt>
                <c:pt idx="2">
                  <c:v>2012г.</c:v>
                </c:pt>
              </c:strCache>
            </c:strRef>
          </c:cat>
          <c:val>
            <c:numRef>
              <c:f>(Лист1!$D$8,Лист1!$G$8,Лист1!$K$8)</c:f>
              <c:numCache>
                <c:formatCode>#,##0.0</c:formatCode>
                <c:ptCount val="3"/>
                <c:pt idx="0">
                  <c:v>1922.2446989126902</c:v>
                </c:pt>
                <c:pt idx="1">
                  <c:v>1912.0534696668728</c:v>
                </c:pt>
                <c:pt idx="2">
                  <c:v>2300.4680801423196</c:v>
                </c:pt>
              </c:numCache>
            </c:numRef>
          </c:val>
          <c:smooth val="0"/>
        </c:ser>
        <c:ser>
          <c:idx val="5"/>
          <c:order val="5"/>
          <c:tx>
            <c:strRef>
              <c:f>Лист1!$A$9</c:f>
              <c:strCache>
                <c:ptCount val="1"/>
                <c:pt idx="0">
                  <c:v>Социальная политика</c:v>
                </c:pt>
              </c:strCache>
            </c:strRef>
          </c:tx>
          <c:spPr>
            <a:ln w="12700">
              <a:solidFill>
                <a:srgbClr val="800000"/>
              </a:solidFill>
              <a:prstDash val="solid"/>
            </a:ln>
          </c:spPr>
          <c:marker>
            <c:symbol val="circle"/>
            <c:size val="5"/>
            <c:spPr>
              <a:solidFill>
                <a:srgbClr val="800000"/>
              </a:solidFill>
              <a:ln>
                <a:solidFill>
                  <a:srgbClr val="800000"/>
                </a:solidFill>
                <a:prstDash val="solid"/>
              </a:ln>
            </c:spPr>
          </c:marker>
          <c:cat>
            <c:strRef>
              <c:f>(Лист1!$B$2,Лист1!$E$2,Лист1!$I$2)</c:f>
              <c:strCache>
                <c:ptCount val="3"/>
                <c:pt idx="0">
                  <c:v>2010г.</c:v>
                </c:pt>
                <c:pt idx="1">
                  <c:v>2011г.</c:v>
                </c:pt>
                <c:pt idx="2">
                  <c:v>2012г.</c:v>
                </c:pt>
              </c:strCache>
            </c:strRef>
          </c:cat>
          <c:val>
            <c:numRef>
              <c:f>(Лист1!$D$9,Лист1!$G$9,Лист1!$K$9)</c:f>
              <c:numCache>
                <c:formatCode>#,##0.0</c:formatCode>
                <c:ptCount val="3"/>
                <c:pt idx="0">
                  <c:v>4372.4760013240648</c:v>
                </c:pt>
                <c:pt idx="1">
                  <c:v>4970.3110141522629</c:v>
                </c:pt>
                <c:pt idx="2">
                  <c:v>5482.9063127025775</c:v>
                </c:pt>
              </c:numCache>
            </c:numRef>
          </c:val>
          <c:smooth val="0"/>
        </c:ser>
        <c:ser>
          <c:idx val="6"/>
          <c:order val="6"/>
          <c:tx>
            <c:strRef>
              <c:f>Лист1!$A$10</c:f>
              <c:strCache>
                <c:ptCount val="1"/>
                <c:pt idx="0">
                  <c:v>Бюджетный сектор</c:v>
                </c:pt>
              </c:strCache>
            </c:strRef>
          </c:tx>
          <c:spPr>
            <a:ln w="12700">
              <a:solidFill>
                <a:srgbClr val="008080"/>
              </a:solidFill>
              <a:prstDash val="solid"/>
            </a:ln>
          </c:spPr>
          <c:marker>
            <c:symbol val="plus"/>
            <c:size val="5"/>
            <c:spPr>
              <a:noFill/>
              <a:ln>
                <a:solidFill>
                  <a:srgbClr val="008080"/>
                </a:solidFill>
                <a:prstDash val="solid"/>
              </a:ln>
            </c:spPr>
          </c:marker>
          <c:cat>
            <c:strRef>
              <c:f>(Лист1!$B$2,Лист1!$E$2,Лист1!$I$2)</c:f>
              <c:strCache>
                <c:ptCount val="3"/>
                <c:pt idx="0">
                  <c:v>2010г.</c:v>
                </c:pt>
                <c:pt idx="1">
                  <c:v>2011г.</c:v>
                </c:pt>
                <c:pt idx="2">
                  <c:v>2012г.</c:v>
                </c:pt>
              </c:strCache>
            </c:strRef>
          </c:cat>
          <c:val>
            <c:numRef>
              <c:f>(Лист1!$D$10,Лист1!$G$10,Лист1!$K$10)</c:f>
              <c:numCache>
                <c:formatCode>#,##0.0</c:formatCode>
                <c:ptCount val="3"/>
                <c:pt idx="0">
                  <c:v>7461.6758124112957</c:v>
                </c:pt>
                <c:pt idx="1">
                  <c:v>7856.3685403080171</c:v>
                </c:pt>
                <c:pt idx="2">
                  <c:v>8251.0338182165524</c:v>
                </c:pt>
              </c:numCache>
            </c:numRef>
          </c:val>
          <c:smooth val="0"/>
        </c:ser>
        <c:dLbls>
          <c:showLegendKey val="0"/>
          <c:showVal val="0"/>
          <c:showCatName val="0"/>
          <c:showSerName val="0"/>
          <c:showPercent val="0"/>
          <c:showBubbleSize val="0"/>
        </c:dLbls>
        <c:marker val="1"/>
        <c:smooth val="0"/>
        <c:axId val="226352128"/>
        <c:axId val="226358400"/>
      </c:lineChart>
      <c:catAx>
        <c:axId val="22635212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925" b="1" i="0" u="none" strike="noStrike" baseline="0">
                <a:solidFill>
                  <a:srgbClr val="000000"/>
                </a:solidFill>
                <a:latin typeface="Times New Roman" pitchFamily="18" charset="0"/>
                <a:ea typeface="Arial Cyr"/>
                <a:cs typeface="Times New Roman" pitchFamily="18" charset="0"/>
              </a:defRPr>
            </a:pPr>
            <a:endParaRPr lang="ru-RU"/>
          </a:p>
        </c:txPr>
        <c:crossAx val="226358400"/>
        <c:crosses val="autoZero"/>
        <c:auto val="0"/>
        <c:lblAlgn val="ctr"/>
        <c:lblOffset val="100"/>
        <c:tickLblSkip val="1"/>
        <c:tickMarkSkip val="1"/>
        <c:noMultiLvlLbl val="0"/>
      </c:catAx>
      <c:valAx>
        <c:axId val="226358400"/>
        <c:scaling>
          <c:orientation val="minMax"/>
        </c:scaling>
        <c:delete val="0"/>
        <c:axPos val="l"/>
        <c:majorGridlines>
          <c:spPr>
            <a:ln w="3175">
              <a:solidFill>
                <a:srgbClr val="000000"/>
              </a:solidFill>
              <a:prstDash val="solid"/>
            </a:ln>
          </c:spPr>
        </c:majorGridlines>
        <c:title>
          <c:tx>
            <c:rich>
              <a:bodyPr/>
              <a:lstStyle/>
              <a:p>
                <a:pPr>
                  <a:defRPr sz="925" b="1" i="0" u="none" strike="noStrike" baseline="0">
                    <a:solidFill>
                      <a:srgbClr val="000000"/>
                    </a:solidFill>
                    <a:latin typeface="Arial Cyr"/>
                    <a:ea typeface="Arial Cyr"/>
                    <a:cs typeface="Arial Cyr"/>
                  </a:defRPr>
                </a:pPr>
                <a:r>
                  <a:rPr lang="ru-RU"/>
                  <a:t>Руб.</a:t>
                </a:r>
              </a:p>
            </c:rich>
          </c:tx>
          <c:layout>
            <c:manualLayout>
              <c:xMode val="edge"/>
              <c:yMode val="edge"/>
              <c:x val="1.6969696969696971E-2"/>
              <c:y val="0.49206468239089163"/>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925" b="1" i="0" u="none" strike="noStrike" baseline="0">
                <a:solidFill>
                  <a:srgbClr val="000000"/>
                </a:solidFill>
                <a:latin typeface="Times New Roman" pitchFamily="18" charset="0"/>
                <a:ea typeface="Arial Cyr"/>
                <a:cs typeface="Times New Roman" pitchFamily="18" charset="0"/>
              </a:defRPr>
            </a:pPr>
            <a:endParaRPr lang="ru-RU"/>
          </a:p>
        </c:txPr>
        <c:crossAx val="226352128"/>
        <c:crosses val="autoZero"/>
        <c:crossBetween val="between"/>
      </c:valAx>
      <c:spPr>
        <a:solidFill>
          <a:srgbClr val="C0C0C0"/>
        </a:solidFill>
        <a:ln w="12700">
          <a:solidFill>
            <a:srgbClr val="808080"/>
          </a:solidFill>
          <a:prstDash val="solid"/>
        </a:ln>
      </c:spPr>
    </c:plotArea>
    <c:legend>
      <c:legendPos val="r"/>
      <c:layout>
        <c:manualLayout>
          <c:xMode val="edge"/>
          <c:yMode val="edge"/>
          <c:x val="0.66303030303030308"/>
          <c:y val="0.14965986394557823"/>
          <c:w val="0.32484848484848483"/>
          <c:h val="0.75510204081632648"/>
        </c:manualLayout>
      </c:layout>
      <c:overlay val="0"/>
      <c:spPr>
        <a:solidFill>
          <a:srgbClr val="FFFFFF"/>
        </a:solidFill>
        <a:ln w="3175">
          <a:noFill/>
          <a:prstDash val="solid"/>
        </a:ln>
      </c:spPr>
      <c:txPr>
        <a:bodyPr/>
        <a:lstStyle/>
        <a:p>
          <a:pPr>
            <a:defRPr sz="92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3175">
      <a:noFill/>
      <a:prstDash val="solid"/>
    </a:ln>
  </c:spPr>
  <c:txPr>
    <a:bodyPr/>
    <a:lstStyle/>
    <a:p>
      <a:pPr>
        <a:defRPr sz="9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700" b="1" i="0" u="none" strike="noStrike" baseline="0">
                <a:solidFill>
                  <a:srgbClr val="000000"/>
                </a:solidFill>
                <a:latin typeface="Times New Roman" pitchFamily="18" charset="0"/>
                <a:ea typeface="Arial Cyr"/>
                <a:cs typeface="Times New Roman" pitchFamily="18" charset="0"/>
              </a:defRPr>
            </a:pPr>
            <a:r>
              <a:rPr lang="ru-RU" sz="1400">
                <a:latin typeface="Times New Roman" pitchFamily="18" charset="0"/>
                <a:cs typeface="Times New Roman" pitchFamily="18" charset="0"/>
              </a:rPr>
              <a:t>Увеличение средней заработной платы в динамике лет       </a:t>
            </a:r>
            <a:r>
              <a:rPr lang="ru-RU">
                <a:latin typeface="Times New Roman" pitchFamily="18" charset="0"/>
                <a:cs typeface="Times New Roman" pitchFamily="18" charset="0"/>
              </a:rPr>
              <a:t>        
</a:t>
            </a:r>
          </a:p>
        </c:rich>
      </c:tx>
      <c:layout>
        <c:manualLayout>
          <c:xMode val="edge"/>
          <c:yMode val="edge"/>
          <c:x val="0.21844660194174756"/>
          <c:y val="2.7923211169284468E-2"/>
        </c:manualLayout>
      </c:layout>
      <c:overlay val="0"/>
      <c:spPr>
        <a:noFill/>
        <a:ln w="25400">
          <a:noFill/>
        </a:ln>
      </c:spPr>
    </c:title>
    <c:autoTitleDeleted val="0"/>
    <c:view3D>
      <c:rotX val="10"/>
      <c:rotY val="2"/>
      <c:depthPercent val="100"/>
      <c:rAngAx val="1"/>
    </c:view3D>
    <c:floor>
      <c:thickness val="0"/>
      <c:spPr>
        <a:solidFill>
          <a:schemeClr val="bg1">
            <a:lumMod val="95000"/>
          </a:schemeClr>
        </a:solidFill>
      </c:spPr>
    </c:floor>
    <c:sideWall>
      <c:thickness val="0"/>
      <c:spPr>
        <a:solidFill>
          <a:schemeClr val="bg2">
            <a:lumMod val="90000"/>
          </a:schemeClr>
        </a:solidFill>
        <a:ln w="12700">
          <a:solidFill>
            <a:srgbClr val="808080"/>
          </a:solidFill>
          <a:prstDash val="solid"/>
        </a:ln>
      </c:spPr>
    </c:sideWall>
    <c:backWall>
      <c:thickness val="0"/>
      <c:spPr>
        <a:solidFill>
          <a:schemeClr val="bg2">
            <a:lumMod val="90000"/>
          </a:schemeClr>
        </a:solidFill>
        <a:ln w="12700">
          <a:solidFill>
            <a:srgbClr val="808080"/>
          </a:solidFill>
          <a:prstDash val="solid"/>
        </a:ln>
      </c:spPr>
    </c:backWall>
    <c:plotArea>
      <c:layout>
        <c:manualLayout>
          <c:layoutTarget val="inner"/>
          <c:xMode val="edge"/>
          <c:yMode val="edge"/>
          <c:x val="0.11893203883495146"/>
          <c:y val="0.17568390338642223"/>
          <c:w val="0.85558252427184467"/>
          <c:h val="0.70738911562756213"/>
        </c:manualLayout>
      </c:layout>
      <c:bar3DChart>
        <c:barDir val="col"/>
        <c:grouping val="clustered"/>
        <c:varyColors val="0"/>
        <c:ser>
          <c:idx val="0"/>
          <c:order val="0"/>
          <c:spPr>
            <a:solidFill>
              <a:srgbClr val="9999FF"/>
            </a:solidFill>
            <a:ln w="12700">
              <a:solidFill>
                <a:srgbClr val="000000"/>
              </a:solidFill>
              <a:prstDash val="solid"/>
            </a:ln>
          </c:spPr>
          <c:invertIfNegative val="0"/>
          <c:dLbls>
            <c:dLbl>
              <c:idx val="0"/>
              <c:layout>
                <c:manualLayout>
                  <c:x val="-8.2931987870454751E-4"/>
                  <c:y val="-2.7880960391016004E-2"/>
                </c:manualLayout>
              </c:layout>
              <c:showLegendKey val="0"/>
              <c:showVal val="1"/>
              <c:showCatName val="0"/>
              <c:showSerName val="0"/>
              <c:showPercent val="0"/>
              <c:showBubbleSize val="0"/>
            </c:dLbl>
            <c:dLbl>
              <c:idx val="1"/>
              <c:layout>
                <c:manualLayout>
                  <c:x val="-2.0429121117138743E-3"/>
                  <c:y val="-3.0750436910500951E-2"/>
                </c:manualLayout>
              </c:layout>
              <c:showLegendKey val="0"/>
              <c:showVal val="1"/>
              <c:showCatName val="0"/>
              <c:showSerName val="0"/>
              <c:showPercent val="0"/>
              <c:showBubbleSize val="0"/>
            </c:dLbl>
            <c:dLbl>
              <c:idx val="2"/>
              <c:layout>
                <c:manualLayout>
                  <c:x val="-4.61228754172697E-4"/>
                  <c:y val="-2.2991759537911195E-2"/>
                </c:manualLayout>
              </c:layout>
              <c:showLegendKey val="0"/>
              <c:showVal val="1"/>
              <c:showCatName val="0"/>
              <c:showSerName val="0"/>
              <c:showPercent val="0"/>
              <c:showBubbleSize val="0"/>
            </c:dLbl>
            <c:spPr>
              <a:noFill/>
              <a:ln w="25400">
                <a:noFill/>
              </a:ln>
            </c:spPr>
            <c:txPr>
              <a:bodyPr/>
              <a:lstStyle/>
              <a:p>
                <a:pPr>
                  <a:defRPr sz="14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(Лист1!$B$2,Лист1!$E$2,Лист1!$I$2)</c:f>
              <c:strCache>
                <c:ptCount val="3"/>
                <c:pt idx="0">
                  <c:v>2010г.</c:v>
                </c:pt>
                <c:pt idx="1">
                  <c:v>2011г.</c:v>
                </c:pt>
                <c:pt idx="2">
                  <c:v>2012г.</c:v>
                </c:pt>
              </c:strCache>
            </c:strRef>
          </c:cat>
          <c:val>
            <c:numRef>
              <c:f>(Лист1!$D$10,Лист1!$G$10,Лист1!$K$10)</c:f>
              <c:numCache>
                <c:formatCode>#,##0.0</c:formatCode>
                <c:ptCount val="3"/>
                <c:pt idx="0">
                  <c:v>7461.6758124112957</c:v>
                </c:pt>
                <c:pt idx="1">
                  <c:v>7856.3685403080171</c:v>
                </c:pt>
                <c:pt idx="2">
                  <c:v>8251.0338182165524</c:v>
                </c:pt>
              </c:numCache>
            </c:numRef>
          </c:val>
        </c:ser>
        <c:dLbls>
          <c:showLegendKey val="0"/>
          <c:showVal val="0"/>
          <c:showCatName val="0"/>
          <c:showSerName val="0"/>
          <c:showPercent val="0"/>
          <c:showBubbleSize val="0"/>
        </c:dLbls>
        <c:gapWidth val="150"/>
        <c:shape val="box"/>
        <c:axId val="226392320"/>
        <c:axId val="226402304"/>
        <c:axId val="0"/>
      </c:bar3DChart>
      <c:catAx>
        <c:axId val="22639232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Times New Roman" pitchFamily="18" charset="0"/>
                <a:ea typeface="Arial Cyr"/>
                <a:cs typeface="Times New Roman" pitchFamily="18" charset="0"/>
              </a:defRPr>
            </a:pPr>
            <a:endParaRPr lang="ru-RU"/>
          </a:p>
        </c:txPr>
        <c:crossAx val="226402304"/>
        <c:crosses val="autoZero"/>
        <c:auto val="1"/>
        <c:lblAlgn val="ctr"/>
        <c:lblOffset val="100"/>
        <c:tickLblSkip val="1"/>
        <c:tickMarkSkip val="1"/>
        <c:noMultiLvlLbl val="0"/>
      </c:catAx>
      <c:valAx>
        <c:axId val="226402304"/>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Руб.</a:t>
                </a:r>
              </a:p>
            </c:rich>
          </c:tx>
          <c:layout>
            <c:manualLayout>
              <c:xMode val="edge"/>
              <c:yMode val="edge"/>
              <c:x val="1.820388349514563E-2"/>
              <c:y val="0.53577753042649778"/>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26392320"/>
        <c:crosses val="autoZero"/>
        <c:crossBetween val="between"/>
      </c:valAx>
    </c:plotArea>
    <c:plotVisOnly val="1"/>
    <c:dispBlanksAs val="gap"/>
    <c:showDLblsOverMax val="0"/>
  </c:chart>
  <c:spPr>
    <a:solidFill>
      <a:srgbClr val="FFFFFF"/>
    </a:solidFill>
    <a:ln w="3175">
      <a:noFill/>
      <a:prstDash val="solid"/>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50" b="1" i="0" u="none" strike="noStrike" baseline="0">
                <a:solidFill>
                  <a:srgbClr val="000000"/>
                </a:solidFill>
                <a:latin typeface="Arial Cyr"/>
                <a:ea typeface="Arial Cyr"/>
                <a:cs typeface="Arial Cyr"/>
              </a:defRPr>
            </a:pPr>
            <a:r>
              <a:rPr lang="ru-RU" sz="1400">
                <a:latin typeface="Times New Roman" pitchFamily="18" charset="0"/>
                <a:cs typeface="Times New Roman" pitchFamily="18" charset="0"/>
              </a:rPr>
              <a:t>Динамика роста штатной численности бюджетного сектора</a:t>
            </a:r>
          </a:p>
        </c:rich>
      </c:tx>
      <c:layout>
        <c:manualLayout>
          <c:xMode val="edge"/>
          <c:yMode val="edge"/>
          <c:x val="0.2012122484689414"/>
          <c:y val="2.8716216216216218E-2"/>
        </c:manualLayout>
      </c:layout>
      <c:overlay val="0"/>
      <c:spPr>
        <a:noFill/>
        <a:ln w="25400">
          <a:noFill/>
        </a:ln>
      </c:spPr>
    </c:title>
    <c:autoTitleDeleted val="0"/>
    <c:plotArea>
      <c:layout>
        <c:manualLayout>
          <c:layoutTarget val="inner"/>
          <c:xMode val="edge"/>
          <c:yMode val="edge"/>
          <c:x val="0.20969721791810833"/>
          <c:y val="0.15033796183649994"/>
          <c:w val="0.77333424873845735"/>
          <c:h val="0.73648709394060619"/>
        </c:manualLayout>
      </c:layout>
      <c:barChart>
        <c:barDir val="col"/>
        <c:grouping val="clustered"/>
        <c:varyColors val="0"/>
        <c:ser>
          <c:idx val="0"/>
          <c:order val="0"/>
          <c:spPr>
            <a:gradFill flip="none" rotWithShape="1">
              <a:gsLst>
                <a:gs pos="73000">
                  <a:srgbClr val="C7C9E4">
                    <a:lumMod val="69000"/>
                  </a:srgbClr>
                </a:gs>
                <a:gs pos="26000">
                  <a:schemeClr val="accent4">
                    <a:lumMod val="40000"/>
                    <a:lumOff val="60000"/>
                  </a:schemeClr>
                </a:gs>
                <a:gs pos="50000">
                  <a:schemeClr val="accent1">
                    <a:tint val="44500"/>
                    <a:satMod val="160000"/>
                  </a:schemeClr>
                </a:gs>
                <a:gs pos="100000">
                  <a:schemeClr val="accent1">
                    <a:tint val="23500"/>
                    <a:satMod val="160000"/>
                  </a:schemeClr>
                </a:gs>
              </a:gsLst>
              <a:path path="rect">
                <a:fillToRect l="100000" t="100000"/>
              </a:path>
              <a:tileRect r="-100000" b="-100000"/>
            </a:gradFill>
            <a:effectLst>
              <a:outerShdw blurRad="215900" dist="152400" dir="6300000" sx="106000" sy="106000" algn="ctr" rotWithShape="0">
                <a:srgbClr val="000000"/>
              </a:outerShdw>
            </a:effectLst>
          </c:spPr>
          <c:invertIfNegative val="0"/>
          <c:dLbls>
            <c:dLbl>
              <c:idx val="2"/>
              <c:layout>
                <c:manualLayout>
                  <c:x val="-8.877690288713885E-3"/>
                  <c:y val="-4.2085195431652176E-3"/>
                </c:manualLayout>
              </c:layout>
              <c:dLblPos val="outEnd"/>
              <c:showLegendKey val="0"/>
              <c:showVal val="1"/>
              <c:showCatName val="0"/>
              <c:showSerName val="0"/>
              <c:showPercent val="0"/>
              <c:showBubbleSize val="0"/>
            </c:dLbl>
            <c:spPr>
              <a:noFill/>
              <a:ln w="25400">
                <a:noFill/>
              </a:ln>
            </c:spPr>
            <c:txPr>
              <a:bodyPr/>
              <a:lstStyle/>
              <a:p>
                <a:pP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(Лист1!$B$2,Лист1!$E$2,Лист1!$I$2)</c:f>
              <c:strCache>
                <c:ptCount val="3"/>
                <c:pt idx="0">
                  <c:v>2010г.</c:v>
                </c:pt>
                <c:pt idx="1">
                  <c:v>2011г.</c:v>
                </c:pt>
                <c:pt idx="2">
                  <c:v>2012г.</c:v>
                </c:pt>
              </c:strCache>
            </c:strRef>
          </c:cat>
          <c:val>
            <c:numRef>
              <c:f>(Лист1!$B$10,Лист1!$E$10,Лист1!$I$10)</c:f>
              <c:numCache>
                <c:formatCode>#,##0</c:formatCode>
                <c:ptCount val="3"/>
                <c:pt idx="0">
                  <c:v>108976</c:v>
                </c:pt>
                <c:pt idx="1">
                  <c:v>115924</c:v>
                </c:pt>
                <c:pt idx="2">
                  <c:v>118654</c:v>
                </c:pt>
              </c:numCache>
            </c:numRef>
          </c:val>
        </c:ser>
        <c:dLbls>
          <c:showLegendKey val="0"/>
          <c:showVal val="0"/>
          <c:showCatName val="0"/>
          <c:showSerName val="0"/>
          <c:showPercent val="0"/>
          <c:showBubbleSize val="0"/>
        </c:dLbls>
        <c:gapWidth val="150"/>
        <c:axId val="226587008"/>
        <c:axId val="226588544"/>
      </c:barChart>
      <c:catAx>
        <c:axId val="226587008"/>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26588544"/>
        <c:crosses val="autoZero"/>
        <c:auto val="1"/>
        <c:lblAlgn val="ctr"/>
        <c:lblOffset val="100"/>
        <c:tickLblSkip val="1"/>
        <c:tickMarkSkip val="1"/>
        <c:noMultiLvlLbl val="0"/>
      </c:catAx>
      <c:valAx>
        <c:axId val="226588544"/>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Шт. единиц</a:t>
                </a:r>
              </a:p>
            </c:rich>
          </c:tx>
          <c:layout>
            <c:manualLayout>
              <c:xMode val="edge"/>
              <c:yMode val="edge"/>
              <c:x val="1.9393939393939394E-2"/>
              <c:y val="0.4222976519826913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26587008"/>
        <c:crosses val="autoZero"/>
        <c:crossBetween val="between"/>
      </c:valAx>
      <c:spPr>
        <a:solidFill>
          <a:srgbClr val="C0C0C0"/>
        </a:solidFill>
        <a:ln w="12700">
          <a:solidFill>
            <a:srgbClr val="808080"/>
          </a:solidFill>
          <a:prstDash val="solid"/>
        </a:ln>
      </c:spPr>
    </c:plotArea>
    <c:plotVisOnly val="1"/>
    <c:dispBlanksAs val="gap"/>
    <c:showDLblsOverMax val="0"/>
  </c:chart>
  <c:spPr>
    <a:solidFill>
      <a:srgbClr val="FFFFFF"/>
    </a:solidFill>
    <a:ln w="3175">
      <a:noFill/>
      <a:prstDash val="solid"/>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25" b="1" i="0" u="none" strike="noStrike" baseline="0">
                <a:solidFill>
                  <a:srgbClr val="000000"/>
                </a:solidFill>
                <a:latin typeface="Arial Cyr"/>
                <a:ea typeface="Arial Cyr"/>
                <a:cs typeface="Arial Cyr"/>
              </a:defRPr>
            </a:pPr>
            <a:r>
              <a:rPr lang="ru-RU" sz="1400">
                <a:latin typeface="Times New Roman" pitchFamily="18" charset="0"/>
                <a:cs typeface="Times New Roman" pitchFamily="18" charset="0"/>
              </a:rPr>
              <a:t>Расходы консолидированного бюджета на оплату труда</a:t>
            </a:r>
          </a:p>
        </c:rich>
      </c:tx>
      <c:layout>
        <c:manualLayout>
          <c:xMode val="edge"/>
          <c:yMode val="edge"/>
          <c:x val="0.20792880258899676"/>
          <c:y val="2.8286189683860232E-2"/>
        </c:manualLayout>
      </c:layout>
      <c:overlay val="0"/>
      <c:spPr>
        <a:noFill/>
        <a:ln w="25400">
          <a:noFill/>
        </a:ln>
      </c:spPr>
    </c:title>
    <c:autoTitleDeleted val="0"/>
    <c:plotArea>
      <c:layout>
        <c:manualLayout>
          <c:layoutTarget val="inner"/>
          <c:xMode val="edge"/>
          <c:yMode val="edge"/>
          <c:x val="0.1990291262135922"/>
          <c:y val="0.14475885304997291"/>
          <c:w val="0.78398058252427183"/>
          <c:h val="0.75873605736537542"/>
        </c:manualLayout>
      </c:layout>
      <c:barChart>
        <c:barDir val="col"/>
        <c:grouping val="clustered"/>
        <c:varyColors val="0"/>
        <c:ser>
          <c:idx val="0"/>
          <c:order val="0"/>
          <c:spPr>
            <a:gradFill>
              <a:gsLst>
                <a:gs pos="73000">
                  <a:srgbClr val="812C15">
                    <a:alpha val="98039"/>
                  </a:srgbClr>
                </a:gs>
                <a:gs pos="26000">
                  <a:schemeClr val="accent4">
                    <a:lumMod val="40000"/>
                    <a:lumOff val="60000"/>
                  </a:schemeClr>
                </a:gs>
                <a:gs pos="50000">
                  <a:schemeClr val="accent1">
                    <a:tint val="44500"/>
                    <a:satMod val="160000"/>
                  </a:schemeClr>
                </a:gs>
                <a:gs pos="100000">
                  <a:schemeClr val="accent1">
                    <a:tint val="23500"/>
                    <a:satMod val="160000"/>
                  </a:schemeClr>
                </a:gs>
              </a:gsLst>
              <a:path path="rect">
                <a:fillToRect l="100000" t="100000"/>
              </a:path>
            </a:gradFill>
            <a:ln w="12700">
              <a:solidFill>
                <a:srgbClr val="000000"/>
              </a:solidFill>
              <a:prstDash val="solid"/>
            </a:ln>
            <a:effectLst>
              <a:outerShdw blurRad="127000" dist="114300" dir="8400000" sx="106000" sy="106000" algn="ctr" rotWithShape="0">
                <a:srgbClr val="000000">
                  <a:alpha val="43137"/>
                </a:srgbClr>
              </a:outerShdw>
            </a:effectLst>
          </c:spPr>
          <c:invertIfNegative val="0"/>
          <c:dLbls>
            <c:spPr>
              <a:noFill/>
              <a:ln w="25400">
                <a:noFill/>
              </a:ln>
            </c:spPr>
            <c:txPr>
              <a:bodyPr/>
              <a:lstStyle/>
              <a:p>
                <a:pP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(Лист1!$B$2,Лист1!$E$2,Лист1!$I$2)</c:f>
              <c:strCache>
                <c:ptCount val="3"/>
                <c:pt idx="0">
                  <c:v>2010г.</c:v>
                </c:pt>
                <c:pt idx="1">
                  <c:v>2011г.</c:v>
                </c:pt>
                <c:pt idx="2">
                  <c:v>2012г.</c:v>
                </c:pt>
              </c:strCache>
            </c:strRef>
          </c:cat>
          <c:val>
            <c:numRef>
              <c:f>(Лист1!$C$10,Лист1!$F$10,Лист1!$J$10)</c:f>
              <c:numCache>
                <c:formatCode>#,##0</c:formatCode>
                <c:ptCount val="3"/>
                <c:pt idx="0">
                  <c:v>9757723</c:v>
                </c:pt>
                <c:pt idx="1">
                  <c:v>10928900</c:v>
                </c:pt>
                <c:pt idx="2">
                  <c:v>11748218</c:v>
                </c:pt>
              </c:numCache>
            </c:numRef>
          </c:val>
        </c:ser>
        <c:dLbls>
          <c:showLegendKey val="0"/>
          <c:showVal val="0"/>
          <c:showCatName val="0"/>
          <c:showSerName val="0"/>
          <c:showPercent val="0"/>
          <c:showBubbleSize val="0"/>
        </c:dLbls>
        <c:gapWidth val="150"/>
        <c:axId val="226617600"/>
        <c:axId val="226619392"/>
      </c:barChart>
      <c:catAx>
        <c:axId val="226617600"/>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26619392"/>
        <c:crosses val="autoZero"/>
        <c:auto val="1"/>
        <c:lblAlgn val="ctr"/>
        <c:lblOffset val="100"/>
        <c:tickLblSkip val="1"/>
        <c:tickMarkSkip val="1"/>
        <c:noMultiLvlLbl val="0"/>
      </c:catAx>
      <c:valAx>
        <c:axId val="226619392"/>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Тыс. руб.</a:t>
                </a:r>
              </a:p>
            </c:rich>
          </c:tx>
          <c:layout>
            <c:manualLayout>
              <c:xMode val="edge"/>
              <c:yMode val="edge"/>
              <c:x val="1.9417475728155338E-2"/>
              <c:y val="0.44425991676165272"/>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26617600"/>
        <c:crosses val="autoZero"/>
        <c:crossBetween val="between"/>
      </c:valAx>
      <c:spPr>
        <a:solidFill>
          <a:srgbClr val="C0C0C0"/>
        </a:solidFill>
        <a:ln w="12700">
          <a:solidFill>
            <a:srgbClr val="808080"/>
          </a:solidFill>
          <a:prstDash val="solid"/>
        </a:ln>
      </c:spPr>
    </c:plotArea>
    <c:plotVisOnly val="1"/>
    <c:dispBlanksAs val="gap"/>
    <c:showDLblsOverMax val="0"/>
  </c:chart>
  <c:spPr>
    <a:solidFill>
      <a:srgbClr val="FFFFFF"/>
    </a:solidFill>
    <a:ln w="3175">
      <a:noFill/>
      <a:prstDash val="solid"/>
    </a:ln>
    <a:scene3d>
      <a:camera prst="orthographicFront"/>
      <a:lightRig rig="threePt" dir="t"/>
    </a:scene3d>
    <a:sp3d prstMaterial="matte"/>
  </c:spPr>
  <c:txPr>
    <a:bodyPr/>
    <a:lstStyle/>
    <a:p>
      <a:pPr>
        <a:defRPr sz="14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Соотношение налоговых и неналоговых доходов с безвозмездными и безвозвратными поступлениями по СКФО в 2012 году</a:t>
            </a:r>
          </a:p>
        </c:rich>
      </c:tx>
      <c:layout>
        <c:manualLayout>
          <c:xMode val="edge"/>
          <c:yMode val="edge"/>
          <c:x val="0.14822149444888721"/>
          <c:y val="1.3647231803785777E-3"/>
        </c:manualLayout>
      </c:layout>
      <c:overlay val="0"/>
      <c:spPr>
        <a:noFill/>
        <a:ln w="25400">
          <a:noFill/>
        </a:ln>
      </c:spPr>
    </c:title>
    <c:autoTitleDeleted val="0"/>
    <c:view3D>
      <c:rotX val="17"/>
      <c:hPercent val="57"/>
      <c:rotY val="44"/>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9.7319156000423693E-2"/>
          <c:y val="9.9399235017576859E-2"/>
          <c:w val="0.87912988482749521"/>
          <c:h val="0.62391976219110945"/>
        </c:manualLayout>
      </c:layout>
      <c:bar3DChart>
        <c:barDir val="col"/>
        <c:grouping val="clustered"/>
        <c:varyColors val="0"/>
        <c:ser>
          <c:idx val="0"/>
          <c:order val="0"/>
          <c:tx>
            <c:strRef>
              <c:f>Лист1!$D$6</c:f>
              <c:strCache>
                <c:ptCount val="1"/>
                <c:pt idx="0">
                  <c:v>Налоговые и неналоговые доходы
тыс. рублей</c:v>
                </c:pt>
              </c:strCache>
            </c:strRef>
          </c:tx>
          <c:spPr>
            <a:solidFill>
              <a:srgbClr val="9999FF"/>
            </a:solidFill>
            <a:ln w="12700">
              <a:solidFill>
                <a:srgbClr val="000000"/>
              </a:solidFill>
              <a:prstDash val="solid"/>
            </a:ln>
          </c:spPr>
          <c:invertIfNegative val="0"/>
          <c:dPt>
            <c:idx val="5"/>
            <c:invertIfNegative val="0"/>
            <c:bubble3D val="0"/>
            <c:spPr>
              <a:solidFill>
                <a:schemeClr val="tx2">
                  <a:lumMod val="60000"/>
                  <a:lumOff val="40000"/>
                </a:schemeClr>
              </a:solidFill>
              <a:ln w="12700">
                <a:solidFill>
                  <a:srgbClr val="000000"/>
                </a:solidFill>
                <a:prstDash val="solid"/>
              </a:ln>
            </c:spPr>
          </c:dPt>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Лист1!$B$8:$B$14</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Лист1!$E$8:$E$14</c:f>
              <c:numCache>
                <c:formatCode>0.0%</c:formatCode>
                <c:ptCount val="7"/>
                <c:pt idx="0">
                  <c:v>0.2778311130433625</c:v>
                </c:pt>
                <c:pt idx="1">
                  <c:v>0.13595644119421468</c:v>
                </c:pt>
                <c:pt idx="2">
                  <c:v>0.44448491373893489</c:v>
                </c:pt>
                <c:pt idx="3">
                  <c:v>0.27078575644303238</c:v>
                </c:pt>
                <c:pt idx="4">
                  <c:v>0.40745920226824495</c:v>
                </c:pt>
                <c:pt idx="5">
                  <c:v>0.14878808255313788</c:v>
                </c:pt>
                <c:pt idx="6">
                  <c:v>0.66161971286243559</c:v>
                </c:pt>
              </c:numCache>
            </c:numRef>
          </c:val>
        </c:ser>
        <c:ser>
          <c:idx val="1"/>
          <c:order val="1"/>
          <c:tx>
            <c:strRef>
              <c:f>Лист1!$F$6</c:f>
              <c:strCache>
                <c:ptCount val="1"/>
                <c:pt idx="0">
                  <c:v>Безвозмездные и безвозвратные поступления с других уровней бюджета
тыс. рублей</c:v>
                </c:pt>
              </c:strCache>
            </c:strRef>
          </c:tx>
          <c:spPr>
            <a:solidFill>
              <a:schemeClr val="accent2">
                <a:lumMod val="60000"/>
                <a:lumOff val="40000"/>
              </a:schemeClr>
            </a:solidFill>
            <a:ln w="12700">
              <a:solidFill>
                <a:srgbClr val="000000"/>
              </a:solidFill>
              <a:prstDash val="solid"/>
            </a:ln>
          </c:spPr>
          <c:invertIfNegative val="0"/>
          <c:dPt>
            <c:idx val="5"/>
            <c:invertIfNegative val="0"/>
            <c:bubble3D val="0"/>
            <c:spPr>
              <a:solidFill>
                <a:schemeClr val="accent6">
                  <a:lumMod val="60000"/>
                  <a:lumOff val="40000"/>
                </a:schemeClr>
              </a:solidFill>
              <a:ln w="12700">
                <a:solidFill>
                  <a:srgbClr val="000000"/>
                </a:solidFill>
                <a:prstDash val="solid"/>
              </a:ln>
            </c:spPr>
          </c:dPt>
          <c:dLbls>
            <c:dLbl>
              <c:idx val="6"/>
              <c:layout>
                <c:manualLayout>
                  <c:x val="3.5573122529644272E-2"/>
                  <c:y val="-7.684918347742555E-3"/>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Лист1!$B$8:$B$14</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Лист1!$G$8:$G$14</c:f>
              <c:numCache>
                <c:formatCode>0.0%</c:formatCode>
                <c:ptCount val="7"/>
                <c:pt idx="0">
                  <c:v>0.7221688869566375</c:v>
                </c:pt>
                <c:pt idx="1">
                  <c:v>0.86404355880578521</c:v>
                </c:pt>
                <c:pt idx="2">
                  <c:v>0.55551508626106505</c:v>
                </c:pt>
                <c:pt idx="3">
                  <c:v>0.72921424355696762</c:v>
                </c:pt>
                <c:pt idx="4">
                  <c:v>0.59254079773175516</c:v>
                </c:pt>
                <c:pt idx="5">
                  <c:v>0.8512119174468622</c:v>
                </c:pt>
                <c:pt idx="6">
                  <c:v>0.33838028713756446</c:v>
                </c:pt>
              </c:numCache>
            </c:numRef>
          </c:val>
        </c:ser>
        <c:dLbls>
          <c:showLegendKey val="0"/>
          <c:showVal val="0"/>
          <c:showCatName val="0"/>
          <c:showSerName val="0"/>
          <c:showPercent val="0"/>
          <c:showBubbleSize val="0"/>
        </c:dLbls>
        <c:gapWidth val="150"/>
        <c:shape val="box"/>
        <c:axId val="249653504"/>
        <c:axId val="249679872"/>
        <c:axId val="0"/>
      </c:bar3DChart>
      <c:catAx>
        <c:axId val="249653504"/>
        <c:scaling>
          <c:orientation val="minMax"/>
        </c:scaling>
        <c:delete val="0"/>
        <c:axPos val="b"/>
        <c:numFmt formatCode="General" sourceLinked="1"/>
        <c:majorTickMark val="out"/>
        <c:minorTickMark val="none"/>
        <c:tickLblPos val="low"/>
        <c:spPr>
          <a:ln w="3175">
            <a:solidFill>
              <a:srgbClr val="000000"/>
            </a:solidFill>
            <a:prstDash val="solid"/>
          </a:ln>
        </c:spPr>
        <c:txPr>
          <a:bodyPr rot="-144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49679872"/>
        <c:crosses val="autoZero"/>
        <c:auto val="1"/>
        <c:lblAlgn val="ctr"/>
        <c:lblOffset val="100"/>
        <c:tickLblSkip val="1"/>
        <c:tickMarkSkip val="1"/>
        <c:noMultiLvlLbl val="0"/>
      </c:catAx>
      <c:valAx>
        <c:axId val="249679872"/>
        <c:scaling>
          <c:orientation val="minMax"/>
        </c:scaling>
        <c:delete val="0"/>
        <c:axPos val="l"/>
        <c:majorGridlines>
          <c:spPr>
            <a:ln w="3175">
              <a:solidFill>
                <a:srgbClr val="000000"/>
              </a:solidFill>
              <a:prstDash val="solid"/>
            </a:ln>
          </c:spPr>
        </c:majorGridlines>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49653504"/>
        <c:crosses val="autoZero"/>
        <c:crossBetween val="between"/>
      </c:valAx>
      <c:spPr>
        <a:noFill/>
        <a:ln w="25400">
          <a:noFill/>
        </a:ln>
      </c:spPr>
    </c:plotArea>
    <c:legend>
      <c:legendPos val="b"/>
      <c:layout>
        <c:manualLayout>
          <c:xMode val="edge"/>
          <c:yMode val="edge"/>
          <c:x val="3.9525731430573113E-2"/>
          <c:y val="0.92219087644719255"/>
          <c:w val="0.92292531615366258"/>
          <c:h val="6.7723298391382025E-2"/>
        </c:manualLayout>
      </c:layout>
      <c:overlay val="0"/>
      <c:spPr>
        <a:solidFill>
          <a:srgbClr val="FFFFFF"/>
        </a:solidFill>
        <a:ln w="3175">
          <a:noFill/>
          <a:prstDash val="solid"/>
        </a:ln>
      </c:spPr>
      <c:txPr>
        <a:bodyPr/>
        <a:lstStyle/>
        <a:p>
          <a:pPr>
            <a:defRPr sz="80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3175">
      <a:noFill/>
      <a:prstDash val="solid"/>
    </a:ln>
  </c:spPr>
  <c:txPr>
    <a:bodyPr/>
    <a:lstStyle/>
    <a:p>
      <a:pPr>
        <a:defRPr sz="165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300">
                <a:latin typeface="Times New Roman" pitchFamily="18" charset="0"/>
                <a:cs typeface="Times New Roman" pitchFamily="18" charset="0"/>
              </a:rPr>
              <a:t>Объем дотаций по субъектам СКФО в расчете на одного жителя </a:t>
            </a:r>
          </a:p>
          <a:p>
            <a:pPr>
              <a:defRPr sz="1400"/>
            </a:pPr>
            <a:r>
              <a:rPr lang="ru-RU" sz="1300">
                <a:latin typeface="Times New Roman" pitchFamily="18" charset="0"/>
                <a:cs typeface="Times New Roman" pitchFamily="18" charset="0"/>
              </a:rPr>
              <a:t>за 2012 год</a:t>
            </a:r>
          </a:p>
        </c:rich>
      </c:tx>
      <c:overlay val="0"/>
    </c:title>
    <c:autoTitleDeleted val="0"/>
    <c:view3D>
      <c:rotX val="15"/>
      <c:rotY val="20"/>
      <c:depthPercent val="100"/>
      <c:rAngAx val="1"/>
    </c:view3D>
    <c:floor>
      <c:thickness val="0"/>
      <c:spPr>
        <a:solidFill>
          <a:schemeClr val="tx2">
            <a:lumMod val="20000"/>
            <a:lumOff val="80000"/>
          </a:schemeClr>
        </a:solidFill>
      </c:spPr>
    </c:floor>
    <c:sideWall>
      <c:thickness val="0"/>
      <c:spPr>
        <a:solidFill>
          <a:schemeClr val="tx2">
            <a:lumMod val="20000"/>
            <a:lumOff val="80000"/>
          </a:schemeClr>
        </a:solidFill>
      </c:spPr>
    </c:sideWall>
    <c:backWall>
      <c:thickness val="0"/>
      <c:spPr>
        <a:solidFill>
          <a:schemeClr val="tx2">
            <a:lumMod val="20000"/>
            <a:lumOff val="80000"/>
          </a:schemeClr>
        </a:solidFill>
      </c:spPr>
    </c:backWall>
    <c:plotArea>
      <c:layout/>
      <c:bar3DChart>
        <c:barDir val="col"/>
        <c:grouping val="clustered"/>
        <c:varyColors val="0"/>
        <c:ser>
          <c:idx val="0"/>
          <c:order val="0"/>
          <c:spPr>
            <a:solidFill>
              <a:schemeClr val="bg2">
                <a:lumMod val="75000"/>
              </a:schemeClr>
            </a:solidFill>
          </c:spPr>
          <c:invertIfNegative val="0"/>
          <c:dPt>
            <c:idx val="5"/>
            <c:invertIfNegative val="0"/>
            <c:bubble3D val="0"/>
            <c:spPr>
              <a:solidFill>
                <a:schemeClr val="accent2">
                  <a:lumMod val="40000"/>
                  <a:lumOff val="60000"/>
                </a:schemeClr>
              </a:solidFill>
            </c:spPr>
          </c:dPt>
          <c:dLbls>
            <c:txPr>
              <a:bodyPr/>
              <a:lstStyle/>
              <a:p>
                <a:pPr>
                  <a:defRPr sz="13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Лист1!$B$8:$B$14</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Лист1!$J$8:$J$14</c:f>
              <c:numCache>
                <c:formatCode>#,##0.00</c:formatCode>
                <c:ptCount val="7"/>
                <c:pt idx="0">
                  <c:v>12512.381421130434</c:v>
                </c:pt>
                <c:pt idx="1">
                  <c:v>18814.525330408927</c:v>
                </c:pt>
                <c:pt idx="2">
                  <c:v>7531.2757728658144</c:v>
                </c:pt>
                <c:pt idx="3">
                  <c:v>16513.086233461272</c:v>
                </c:pt>
                <c:pt idx="4">
                  <c:v>10887.596495228168</c:v>
                </c:pt>
                <c:pt idx="5">
                  <c:v>31422.832694353045</c:v>
                </c:pt>
                <c:pt idx="6">
                  <c:v>3787.0741028061998</c:v>
                </c:pt>
              </c:numCache>
            </c:numRef>
          </c:val>
        </c:ser>
        <c:dLbls>
          <c:showLegendKey val="0"/>
          <c:showVal val="0"/>
          <c:showCatName val="0"/>
          <c:showSerName val="0"/>
          <c:showPercent val="0"/>
          <c:showBubbleSize val="0"/>
        </c:dLbls>
        <c:gapWidth val="150"/>
        <c:shape val="box"/>
        <c:axId val="249975936"/>
        <c:axId val="249977472"/>
        <c:axId val="0"/>
      </c:bar3DChart>
      <c:catAx>
        <c:axId val="249975936"/>
        <c:scaling>
          <c:orientation val="minMax"/>
        </c:scaling>
        <c:delete val="0"/>
        <c:axPos val="b"/>
        <c:numFmt formatCode="General" sourceLinked="1"/>
        <c:majorTickMark val="out"/>
        <c:minorTickMark val="none"/>
        <c:tickLblPos val="nextTo"/>
        <c:txPr>
          <a:bodyPr rot="-1500000"/>
          <a:lstStyle/>
          <a:p>
            <a:pPr>
              <a:defRPr sz="900" b="1">
                <a:latin typeface="Times New Roman" pitchFamily="18" charset="0"/>
                <a:cs typeface="Times New Roman" pitchFamily="18" charset="0"/>
              </a:defRPr>
            </a:pPr>
            <a:endParaRPr lang="ru-RU"/>
          </a:p>
        </c:txPr>
        <c:crossAx val="249977472"/>
        <c:crosses val="autoZero"/>
        <c:auto val="1"/>
        <c:lblAlgn val="ctr"/>
        <c:lblOffset val="100"/>
        <c:noMultiLvlLbl val="0"/>
      </c:catAx>
      <c:valAx>
        <c:axId val="249977472"/>
        <c:scaling>
          <c:orientation val="minMax"/>
        </c:scaling>
        <c:delete val="0"/>
        <c:axPos val="l"/>
        <c:majorGridlines/>
        <c:numFmt formatCode="#,##0.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249975936"/>
        <c:crosses val="autoZero"/>
        <c:crossBetween val="between"/>
      </c:valAx>
      <c:spPr>
        <a:noFill/>
        <a:ln w="25400">
          <a:noFill/>
        </a:ln>
      </c:spPr>
    </c:plotArea>
    <c:plotVisOnly val="1"/>
    <c:dispBlanksAs val="gap"/>
    <c:showDLblsOverMax val="0"/>
  </c:chart>
  <c:spPr>
    <a:ln>
      <a:noFill/>
    </a:ln>
  </c:sp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Доля налоговых и неналоговых поступлений субъектов СКФО в совокупном объеме налоговых и неналоговых доходов округа </a:t>
            </a:r>
          </a:p>
          <a:p>
            <a:pPr>
              <a:defRPr sz="16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за 2012 год</a:t>
            </a:r>
          </a:p>
        </c:rich>
      </c:tx>
      <c:layout>
        <c:manualLayout>
          <c:xMode val="edge"/>
          <c:yMode val="edge"/>
          <c:x val="0.12590406850874802"/>
          <c:y val="2.7616301048788653E-2"/>
        </c:manualLayout>
      </c:layout>
      <c:overlay val="0"/>
      <c:spPr>
        <a:noFill/>
        <a:ln w="25400">
          <a:noFill/>
        </a:ln>
      </c:spPr>
    </c:title>
    <c:autoTitleDeleted val="0"/>
    <c:view3D>
      <c:rotX val="15"/>
      <c:rotY val="0"/>
      <c:rAngAx val="0"/>
      <c:perspective val="0"/>
    </c:view3D>
    <c:floor>
      <c:thickness val="0"/>
    </c:floor>
    <c:sideWall>
      <c:thickness val="0"/>
    </c:sideWall>
    <c:backWall>
      <c:thickness val="0"/>
    </c:backWall>
    <c:plotArea>
      <c:layout>
        <c:manualLayout>
          <c:layoutTarget val="inner"/>
          <c:xMode val="edge"/>
          <c:yMode val="edge"/>
          <c:x val="0.18517439902496916"/>
          <c:y val="0.32661503731786606"/>
          <c:w val="0.49698456735677898"/>
          <c:h val="0.39766631022973986"/>
        </c:manualLayout>
      </c:layout>
      <c:pie3DChart>
        <c:varyColors val="1"/>
        <c:ser>
          <c:idx val="0"/>
          <c:order val="0"/>
          <c:spPr>
            <a:solidFill>
              <a:srgbClr val="9999FF"/>
            </a:solidFill>
            <a:ln w="12700">
              <a:solidFill>
                <a:srgbClr val="000000"/>
              </a:solidFill>
              <a:prstDash val="solid"/>
            </a:ln>
          </c:spPr>
          <c:explosion val="25"/>
          <c:dPt>
            <c:idx val="0"/>
            <c:bubble3D val="0"/>
          </c:dPt>
          <c:dPt>
            <c:idx val="1"/>
            <c:bubble3D val="0"/>
            <c:spPr>
              <a:solidFill>
                <a:srgbClr val="993366"/>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dPt>
            <c:idx val="4"/>
            <c:bubble3D val="0"/>
            <c:spPr>
              <a:solidFill>
                <a:srgbClr val="660066"/>
              </a:solidFill>
              <a:ln w="12700">
                <a:solidFill>
                  <a:srgbClr val="000000"/>
                </a:solidFill>
                <a:prstDash val="solid"/>
              </a:ln>
            </c:spPr>
          </c:dPt>
          <c:dPt>
            <c:idx val="5"/>
            <c:bubble3D val="0"/>
            <c:spPr>
              <a:solidFill>
                <a:srgbClr val="FF8080"/>
              </a:solidFill>
              <a:ln w="12700">
                <a:solidFill>
                  <a:srgbClr val="000000"/>
                </a:solidFill>
                <a:prstDash val="solid"/>
              </a:ln>
            </c:spPr>
          </c:dPt>
          <c:dPt>
            <c:idx val="6"/>
            <c:bubble3D val="0"/>
            <c:spPr>
              <a:solidFill>
                <a:srgbClr val="0066CC"/>
              </a:solidFill>
              <a:ln w="12700">
                <a:solidFill>
                  <a:srgbClr val="000000"/>
                </a:solidFill>
                <a:prstDash val="solid"/>
              </a:ln>
            </c:spPr>
          </c:dPt>
          <c:dLbls>
            <c:dLbl>
              <c:idx val="0"/>
              <c:layout>
                <c:manualLayout>
                  <c:x val="-0.10893776263865498"/>
                  <c:y val="-0.11294161399154794"/>
                </c:manualLayout>
              </c:layout>
              <c:dLblPos val="bestFit"/>
              <c:showLegendKey val="0"/>
              <c:showVal val="0"/>
              <c:showCatName val="1"/>
              <c:showSerName val="0"/>
              <c:showPercent val="1"/>
              <c:showBubbleSize val="0"/>
            </c:dLbl>
            <c:dLbl>
              <c:idx val="1"/>
              <c:layout>
                <c:manualLayout>
                  <c:x val="8.9393917061844838E-2"/>
                  <c:y val="-0.17038904689549789"/>
                </c:manualLayout>
              </c:layout>
              <c:dLblPos val="bestFit"/>
              <c:showLegendKey val="0"/>
              <c:showVal val="0"/>
              <c:showCatName val="1"/>
              <c:showSerName val="0"/>
              <c:showPercent val="1"/>
              <c:showBubbleSize val="0"/>
            </c:dLbl>
            <c:dLbl>
              <c:idx val="2"/>
              <c:layout>
                <c:manualLayout>
                  <c:x val="0.1018072282716188"/>
                  <c:y val="-3.210675826015575E-2"/>
                </c:manualLayout>
              </c:layout>
              <c:dLblPos val="bestFit"/>
              <c:showLegendKey val="0"/>
              <c:showVal val="0"/>
              <c:showCatName val="1"/>
              <c:showSerName val="0"/>
              <c:showPercent val="1"/>
              <c:showBubbleSize val="0"/>
            </c:dLbl>
            <c:dLbl>
              <c:idx val="3"/>
              <c:layout>
                <c:manualLayout>
                  <c:x val="0.10375391461048608"/>
                  <c:y val="0.22269351400776879"/>
                </c:manualLayout>
              </c:layout>
              <c:dLblPos val="bestFit"/>
              <c:showLegendKey val="0"/>
              <c:showVal val="0"/>
              <c:showCatName val="1"/>
              <c:showSerName val="0"/>
              <c:showPercent val="1"/>
              <c:showBubbleSize val="0"/>
            </c:dLbl>
            <c:dLbl>
              <c:idx val="4"/>
              <c:layout>
                <c:manualLayout>
                  <c:x val="-0.15758218451749734"/>
                  <c:y val="0.23217724625704309"/>
                </c:manualLayout>
              </c:layout>
              <c:dLblPos val="bestFit"/>
              <c:showLegendKey val="0"/>
              <c:showVal val="0"/>
              <c:showCatName val="1"/>
              <c:showSerName val="0"/>
              <c:showPercent val="1"/>
              <c:showBubbleSize val="0"/>
            </c:dLbl>
            <c:dLbl>
              <c:idx val="5"/>
              <c:layout>
                <c:manualLayout>
                  <c:x val="-0.37569353671336403"/>
                  <c:y val="9.2801220962746248E-2"/>
                </c:manualLayout>
              </c:layout>
              <c:dLblPos val="bestFit"/>
              <c:showLegendKey val="0"/>
              <c:showVal val="0"/>
              <c:showCatName val="1"/>
              <c:showSerName val="0"/>
              <c:showPercent val="1"/>
              <c:showBubbleSize val="0"/>
            </c:dLbl>
            <c:dLbl>
              <c:idx val="6"/>
              <c:layout>
                <c:manualLayout>
                  <c:x val="5.1230295070674378E-2"/>
                  <c:y val="-0.18411603428209444"/>
                </c:manualLayout>
              </c:layout>
              <c:dLblPos val="bestFit"/>
              <c:showLegendKey val="0"/>
              <c:showVal val="0"/>
              <c:showCatName val="1"/>
              <c:showSerName val="0"/>
              <c:showPercent val="1"/>
              <c:showBubbleSize val="0"/>
            </c:dLbl>
            <c:dLbl>
              <c:idx val="7"/>
              <c:numFmt formatCode="0%" sourceLinked="0"/>
              <c:spPr>
                <a:solidFill>
                  <a:srgbClr val="CCFFCC"/>
                </a:solidFill>
                <a:ln w="25400">
                  <a:noFill/>
                </a:ln>
              </c:spPr>
              <c:txPr>
                <a:bodyPr/>
                <a:lstStyle/>
                <a:p>
                  <a:pPr>
                    <a:defRPr sz="1050" b="1" i="0" u="none" strike="noStrike" baseline="0">
                      <a:solidFill>
                        <a:srgbClr val="000000"/>
                      </a:solidFill>
                      <a:latin typeface="Times New Roman" pitchFamily="18" charset="0"/>
                      <a:ea typeface="Arial Cyr"/>
                      <a:cs typeface="Times New Roman" pitchFamily="18" charset="0"/>
                    </a:defRPr>
                  </a:pPr>
                  <a:endParaRPr lang="ru-RU"/>
                </a:p>
              </c:txPr>
              <c:dLblPos val="bestFit"/>
              <c:showLegendKey val="0"/>
              <c:showVal val="0"/>
              <c:showCatName val="1"/>
              <c:showSerName val="0"/>
              <c:showPercent val="1"/>
              <c:showBubbleSize val="0"/>
            </c:dLbl>
            <c:dLbl>
              <c:idx val="8"/>
              <c:layout>
                <c:manualLayout>
                  <c:xMode val="edge"/>
                  <c:yMode val="edge"/>
                  <c:x val="0.11283655299373321"/>
                  <c:y val="0.80087266141148872"/>
                </c:manualLayout>
              </c:layout>
              <c:dLblPos val="bestFit"/>
              <c:showLegendKey val="0"/>
              <c:showVal val="0"/>
              <c:showCatName val="1"/>
              <c:showSerName val="0"/>
              <c:showPercent val="1"/>
              <c:showBubbleSize val="0"/>
            </c:dLbl>
            <c:dLbl>
              <c:idx val="9"/>
              <c:dLblPos val="bestFit"/>
              <c:showLegendKey val="0"/>
              <c:showVal val="0"/>
              <c:showCatName val="1"/>
              <c:showSerName val="0"/>
              <c:showPercent val="1"/>
              <c:showBubbleSize val="0"/>
            </c:dLbl>
            <c:dLbl>
              <c:idx val="10"/>
              <c:layout>
                <c:manualLayout>
                  <c:xMode val="edge"/>
                  <c:yMode val="edge"/>
                  <c:x val="6.7287852702684933E-2"/>
                  <c:y val="0.57558180384564339"/>
                </c:manualLayout>
              </c:layout>
              <c:dLblPos val="bestFit"/>
              <c:showLegendKey val="0"/>
              <c:showVal val="0"/>
              <c:showCatName val="1"/>
              <c:showSerName val="0"/>
              <c:showPercent val="1"/>
              <c:showBubbleSize val="0"/>
            </c:dLbl>
            <c:dLbl>
              <c:idx val="11"/>
              <c:layout>
                <c:manualLayout>
                  <c:xMode val="edge"/>
                  <c:yMode val="edge"/>
                  <c:x val="0.1480332759459069"/>
                  <c:y val="0.54796550517628162"/>
                </c:manualLayout>
              </c:layout>
              <c:dLblPos val="bestFit"/>
              <c:showLegendKey val="0"/>
              <c:showVal val="0"/>
              <c:showCatName val="1"/>
              <c:showSerName val="0"/>
              <c:showPercent val="1"/>
              <c:showBubbleSize val="0"/>
            </c:dLbl>
            <c:dLbl>
              <c:idx val="12"/>
              <c:layout>
                <c:manualLayout>
                  <c:xMode val="edge"/>
                  <c:yMode val="edge"/>
                  <c:x val="3.9337513887723517E-2"/>
                  <c:y val="0.62063997535881266"/>
                </c:manualLayout>
              </c:layout>
              <c:dLblPos val="bestFit"/>
              <c:showLegendKey val="0"/>
              <c:showVal val="0"/>
              <c:showCatName val="1"/>
              <c:showSerName val="0"/>
              <c:showPercent val="1"/>
              <c:showBubbleSize val="0"/>
            </c:dLbl>
            <c:numFmt formatCode="0%" sourceLinked="0"/>
            <c:spPr>
              <a:noFill/>
              <a:ln w="25400">
                <a:noFill/>
              </a:ln>
            </c:spPr>
            <c:txPr>
              <a:bodyPr/>
              <a:lstStyle/>
              <a:p>
                <a:pPr>
                  <a:defRPr sz="105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0"/>
            <c:showCatName val="1"/>
            <c:showSerName val="0"/>
            <c:showPercent val="1"/>
            <c:showBubbleSize val="0"/>
            <c:showLeaderLines val="1"/>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Лист1!$D$9:$D$15</c:f>
              <c:numCache>
                <c:formatCode>#,##0.00</c:formatCode>
                <c:ptCount val="7"/>
                <c:pt idx="0">
                  <c:v>22223301.567279998</c:v>
                </c:pt>
                <c:pt idx="1">
                  <c:v>2799249.3731</c:v>
                </c:pt>
                <c:pt idx="2">
                  <c:v>10929682.96961</c:v>
                </c:pt>
                <c:pt idx="3">
                  <c:v>5649959.2464100001</c:v>
                </c:pt>
                <c:pt idx="4">
                  <c:v>9209000.9442699999</c:v>
                </c:pt>
                <c:pt idx="5">
                  <c:v>11650606.22707</c:v>
                </c:pt>
                <c:pt idx="6">
                  <c:v>56172652.317170002</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zero"/>
    <c:showDLblsOverMax val="0"/>
  </c:chart>
  <c:spPr>
    <a:solidFill>
      <a:srgbClr val="FFFFFF"/>
    </a:solidFill>
    <a:ln w="9525">
      <a:noFill/>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700" b="0" i="0" u="none" strike="noStrike" baseline="0">
                <a:solidFill>
                  <a:srgbClr val="000000"/>
                </a:solidFill>
                <a:latin typeface="Arial Cyr"/>
                <a:ea typeface="Arial Cyr"/>
                <a:cs typeface="Arial Cyr"/>
              </a:defRPr>
            </a:pPr>
            <a:r>
              <a:rPr lang="ru-RU" sz="1300" b="1" i="0" u="none" strike="noStrike" baseline="0">
                <a:solidFill>
                  <a:srgbClr val="000000"/>
                </a:solidFill>
                <a:latin typeface="Times New Roman"/>
                <a:cs typeface="Times New Roman"/>
              </a:rPr>
              <a:t>Динамика увеличения налоговых и неналоговых поступлений в расчете на душу населения по СКФО за 2011-2012 годы</a:t>
            </a:r>
          </a:p>
        </c:rich>
      </c:tx>
      <c:layout>
        <c:manualLayout>
          <c:xMode val="edge"/>
          <c:yMode val="edge"/>
          <c:x val="0.14981416902045561"/>
          <c:y val="8.3324344730881239E-4"/>
        </c:manualLayout>
      </c:layout>
      <c:overlay val="0"/>
      <c:spPr>
        <a:noFill/>
        <a:ln w="25400">
          <a:noFill/>
        </a:ln>
      </c:spPr>
    </c:title>
    <c:autoTitleDeleted val="0"/>
    <c:view3D>
      <c:rotX val="44"/>
      <c:hPercent val="54"/>
      <c:rotY val="44"/>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3127714747079461"/>
          <c:y val="0.13796317452200862"/>
          <c:w val="0.83797475472159977"/>
          <c:h val="0.5709295918440368"/>
        </c:manualLayout>
      </c:layout>
      <c:bar3DChart>
        <c:barDir val="col"/>
        <c:grouping val="clustered"/>
        <c:varyColors val="0"/>
        <c:ser>
          <c:idx val="0"/>
          <c:order val="0"/>
          <c:tx>
            <c:strRef>
              <c:f>Лист1!$C$6</c:f>
              <c:strCache>
                <c:ptCount val="1"/>
                <c:pt idx="0">
                  <c:v>Поступило налоговых и неналоговых доходов 
2011 году,
тыс. руб.</c:v>
                </c:pt>
              </c:strCache>
            </c:strRef>
          </c:tx>
          <c:spPr>
            <a:solidFill>
              <a:srgbClr val="9999FF"/>
            </a:solidFill>
            <a:ln w="12700">
              <a:solidFill>
                <a:srgbClr val="000000"/>
              </a:solidFill>
              <a:prstDash val="solid"/>
            </a:ln>
          </c:spPr>
          <c:invertIfNegative val="0"/>
          <c:dLbls>
            <c:dLbl>
              <c:idx val="0"/>
              <c:layout>
                <c:manualLayout>
                  <c:x val="5.9043778468141975E-3"/>
                  <c:y val="-1.8872958163073869E-2"/>
                </c:manualLayout>
              </c:layout>
              <c:showLegendKey val="0"/>
              <c:showVal val="1"/>
              <c:showCatName val="0"/>
              <c:showSerName val="0"/>
              <c:showPercent val="0"/>
              <c:showBubbleSize val="0"/>
            </c:dLbl>
            <c:dLbl>
              <c:idx val="1"/>
              <c:layout>
                <c:manualLayout>
                  <c:x val="-2.9762446139001628E-3"/>
                  <c:y val="-2.4976762826922086E-2"/>
                </c:manualLayout>
              </c:layout>
              <c:showLegendKey val="0"/>
              <c:showVal val="1"/>
              <c:showCatName val="0"/>
              <c:showSerName val="0"/>
              <c:showPercent val="0"/>
              <c:showBubbleSize val="0"/>
            </c:dLbl>
            <c:dLbl>
              <c:idx val="2"/>
              <c:layout>
                <c:manualLayout>
                  <c:x val="-4.4459543565790466E-4"/>
                  <c:y val="-1.8266341664149581E-2"/>
                </c:manualLayout>
              </c:layout>
              <c:showLegendKey val="0"/>
              <c:showVal val="1"/>
              <c:showCatName val="0"/>
              <c:showSerName val="0"/>
              <c:showPercent val="0"/>
              <c:showBubbleSize val="0"/>
            </c:dLbl>
            <c:dLbl>
              <c:idx val="3"/>
              <c:layout>
                <c:manualLayout>
                  <c:x val="5.6401864850961544E-3"/>
                  <c:y val="-3.6087093976616365E-2"/>
                </c:manualLayout>
              </c:layout>
              <c:showLegendKey val="0"/>
              <c:showVal val="1"/>
              <c:showCatName val="0"/>
              <c:showSerName val="0"/>
              <c:showPercent val="0"/>
              <c:showBubbleSize val="0"/>
            </c:dLbl>
            <c:dLbl>
              <c:idx val="4"/>
              <c:layout>
                <c:manualLayout>
                  <c:x val="2.4656998438601033E-3"/>
                  <c:y val="-3.2256428592046638E-2"/>
                </c:manualLayout>
              </c:layout>
              <c:showLegendKey val="0"/>
              <c:showVal val="1"/>
              <c:showCatName val="0"/>
              <c:showSerName val="0"/>
              <c:showPercent val="0"/>
              <c:showBubbleSize val="0"/>
            </c:dLbl>
            <c:dLbl>
              <c:idx val="5"/>
              <c:layout>
                <c:manualLayout>
                  <c:x val="6.5065120344974482E-3"/>
                  <c:y val="-2.4820952849841187E-2"/>
                </c:manualLayout>
              </c:layout>
              <c:showLegendKey val="0"/>
              <c:showVal val="1"/>
              <c:showCatName val="0"/>
              <c:showSerName val="0"/>
              <c:showPercent val="0"/>
              <c:showBubbleSize val="0"/>
            </c:dLbl>
            <c:dLbl>
              <c:idx val="6"/>
              <c:layout>
                <c:manualLayout>
                  <c:x val="-9.3862909937198521E-4"/>
                  <c:y val="-1.4293613793132562E-2"/>
                </c:manualLayout>
              </c:layout>
              <c:showLegendKey val="0"/>
              <c:showVal val="1"/>
              <c:showCatName val="0"/>
              <c:showSerName val="0"/>
              <c:showPercent val="0"/>
              <c:showBubbleSize val="0"/>
            </c:dLbl>
            <c:spPr>
              <a:noFill/>
              <a:ln w="25400">
                <a:noFill/>
              </a:ln>
            </c:spPr>
            <c:txPr>
              <a:bodyPr rot="-5400000" vert="horz"/>
              <a:lstStyle/>
              <a:p>
                <a:pPr algn="ctr">
                  <a:defRPr sz="11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Лист1!$F$9:$F$15</c:f>
              <c:numCache>
                <c:formatCode>#,##0.0</c:formatCode>
                <c:ptCount val="7"/>
                <c:pt idx="0">
                  <c:v>6346.3177539278113</c:v>
                </c:pt>
                <c:pt idx="1">
                  <c:v>6650.8801775398088</c:v>
                </c:pt>
                <c:pt idx="2">
                  <c:v>11880.010909316314</c:v>
                </c:pt>
                <c:pt idx="3">
                  <c:v>11478.111616348027</c:v>
                </c:pt>
                <c:pt idx="4">
                  <c:v>11534.77520054102</c:v>
                </c:pt>
                <c:pt idx="5">
                  <c:v>7951.6567100482653</c:v>
                </c:pt>
                <c:pt idx="6">
                  <c:v>18471.736338446302</c:v>
                </c:pt>
              </c:numCache>
            </c:numRef>
          </c:val>
        </c:ser>
        <c:ser>
          <c:idx val="1"/>
          <c:order val="1"/>
          <c:tx>
            <c:strRef>
              <c:f>Лист1!$D$6</c:f>
              <c:strCache>
                <c:ptCount val="1"/>
                <c:pt idx="0">
                  <c:v>Поступило налоговых и неналоговых доходов 
2012 году,
тыс. руб.</c:v>
                </c:pt>
              </c:strCache>
            </c:strRef>
          </c:tx>
          <c:spPr>
            <a:solidFill>
              <a:srgbClr val="FF9900"/>
            </a:solidFill>
            <a:ln w="12700">
              <a:solidFill>
                <a:srgbClr val="000000"/>
              </a:solidFill>
              <a:prstDash val="solid"/>
            </a:ln>
          </c:spPr>
          <c:invertIfNegative val="0"/>
          <c:dPt>
            <c:idx val="5"/>
            <c:invertIfNegative val="0"/>
            <c:bubble3D val="0"/>
            <c:spPr>
              <a:solidFill>
                <a:schemeClr val="accent6">
                  <a:lumMod val="60000"/>
                  <a:lumOff val="40000"/>
                </a:schemeClr>
              </a:solidFill>
              <a:ln w="12700">
                <a:solidFill>
                  <a:srgbClr val="000000"/>
                </a:solidFill>
                <a:prstDash val="solid"/>
              </a:ln>
            </c:spPr>
          </c:dPt>
          <c:dLbls>
            <c:dLbl>
              <c:idx val="0"/>
              <c:layout>
                <c:manualLayout>
                  <c:x val="8.0838353090727892E-3"/>
                  <c:y val="-2.9949590039511045E-2"/>
                </c:manualLayout>
              </c:layout>
              <c:showLegendKey val="0"/>
              <c:showVal val="1"/>
              <c:showCatName val="0"/>
              <c:showSerName val="0"/>
              <c:showPercent val="0"/>
              <c:showBubbleSize val="0"/>
            </c:dLbl>
            <c:dLbl>
              <c:idx val="1"/>
              <c:layout>
                <c:manualLayout>
                  <c:x val="1.2088068998216161E-2"/>
                  <c:y val="-1.4470340731438732E-2"/>
                </c:manualLayout>
              </c:layout>
              <c:showLegendKey val="0"/>
              <c:showVal val="1"/>
              <c:showCatName val="0"/>
              <c:showSerName val="0"/>
              <c:showPercent val="0"/>
              <c:showBubbleSize val="0"/>
            </c:dLbl>
            <c:dLbl>
              <c:idx val="2"/>
              <c:layout>
                <c:manualLayout>
                  <c:x val="1.4711821239113281E-2"/>
                  <c:y val="-2.0396001323325502E-2"/>
                </c:manualLayout>
              </c:layout>
              <c:showLegendKey val="0"/>
              <c:showVal val="1"/>
              <c:showCatName val="0"/>
              <c:showSerName val="0"/>
              <c:showPercent val="0"/>
              <c:showBubbleSize val="0"/>
            </c:dLbl>
            <c:dLbl>
              <c:idx val="3"/>
              <c:layout>
                <c:manualLayout>
                  <c:x val="8.8484515653536391E-3"/>
                  <c:y val="-2.1235339866841139E-2"/>
                </c:manualLayout>
              </c:layout>
              <c:showLegendKey val="0"/>
              <c:showVal val="1"/>
              <c:showCatName val="0"/>
              <c:showSerName val="0"/>
              <c:showPercent val="0"/>
              <c:showBubbleSize val="0"/>
            </c:dLbl>
            <c:dLbl>
              <c:idx val="4"/>
              <c:layout>
                <c:manualLayout>
                  <c:x val="1.6922780907311797E-2"/>
                  <c:y val="-1.9811845080936554E-2"/>
                </c:manualLayout>
              </c:layout>
              <c:showLegendKey val="0"/>
              <c:showVal val="1"/>
              <c:showCatName val="0"/>
              <c:showSerName val="0"/>
              <c:showPercent val="0"/>
              <c:showBubbleSize val="0"/>
            </c:dLbl>
            <c:dLbl>
              <c:idx val="5"/>
              <c:layout>
                <c:manualLayout>
                  <c:x val="6.6147087548772297E-3"/>
                  <c:y val="-2.1449776847223271E-2"/>
                </c:manualLayout>
              </c:layout>
              <c:showLegendKey val="0"/>
              <c:showVal val="1"/>
              <c:showCatName val="0"/>
              <c:showSerName val="0"/>
              <c:showPercent val="0"/>
              <c:showBubbleSize val="0"/>
            </c:dLbl>
            <c:dLbl>
              <c:idx val="6"/>
              <c:layout>
                <c:manualLayout>
                  <c:x val="1.225848553271597E-2"/>
                  <c:y val="2.0165840440797742E-3"/>
                </c:manualLayout>
              </c:layout>
              <c:showLegendKey val="0"/>
              <c:showVal val="1"/>
              <c:showCatName val="0"/>
              <c:showSerName val="0"/>
              <c:showPercent val="0"/>
              <c:showBubbleSize val="0"/>
            </c:dLbl>
            <c:spPr>
              <a:noFill/>
              <a:ln w="25400">
                <a:noFill/>
              </a:ln>
            </c:spPr>
            <c:txPr>
              <a:bodyPr rot="-5400000" vert="horz"/>
              <a:lstStyle/>
              <a:p>
                <a:pPr algn="ctr">
                  <a:defRPr sz="11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Лист1!$G$9:$G$15</c:f>
              <c:numCache>
                <c:formatCode>#,##0.0</c:formatCode>
                <c:ptCount val="7"/>
                <c:pt idx="0">
                  <c:v>7543.4614888417818</c:v>
                </c:pt>
                <c:pt idx="1">
                  <c:v>6329.4917481995681</c:v>
                </c:pt>
                <c:pt idx="2">
                  <c:v>12724.528631147943</c:v>
                </c:pt>
                <c:pt idx="3">
                  <c:v>11974.134086706074</c:v>
                </c:pt>
                <c:pt idx="4">
                  <c:v>13041.638559103725</c:v>
                </c:pt>
                <c:pt idx="5">
                  <c:v>8794.4568569944749</c:v>
                </c:pt>
                <c:pt idx="6">
                  <c:v>20127.903911326026</c:v>
                </c:pt>
              </c:numCache>
            </c:numRef>
          </c:val>
        </c:ser>
        <c:dLbls>
          <c:showLegendKey val="0"/>
          <c:showVal val="0"/>
          <c:showCatName val="0"/>
          <c:showSerName val="0"/>
          <c:showPercent val="0"/>
          <c:showBubbleSize val="0"/>
        </c:dLbls>
        <c:gapWidth val="150"/>
        <c:shape val="box"/>
        <c:axId val="250066816"/>
        <c:axId val="250068352"/>
        <c:axId val="0"/>
      </c:bar3DChart>
      <c:catAx>
        <c:axId val="250066816"/>
        <c:scaling>
          <c:orientation val="minMax"/>
        </c:scaling>
        <c:delete val="0"/>
        <c:axPos val="b"/>
        <c:numFmt formatCode="General" sourceLinked="1"/>
        <c:majorTickMark val="out"/>
        <c:minorTickMark val="none"/>
        <c:tickLblPos val="low"/>
        <c:spPr>
          <a:ln w="3175">
            <a:solidFill>
              <a:srgbClr val="000000"/>
            </a:solidFill>
            <a:prstDash val="solid"/>
          </a:ln>
        </c:spPr>
        <c:txPr>
          <a:bodyPr rot="-114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0068352"/>
        <c:crosses val="autoZero"/>
        <c:auto val="1"/>
        <c:lblAlgn val="ctr"/>
        <c:lblOffset val="100"/>
        <c:tickLblSkip val="1"/>
        <c:tickMarkSkip val="1"/>
        <c:noMultiLvlLbl val="0"/>
      </c:catAx>
      <c:valAx>
        <c:axId val="250068352"/>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Рублей</a:t>
                </a:r>
              </a:p>
            </c:rich>
          </c:tx>
          <c:layout>
            <c:manualLayout>
              <c:xMode val="edge"/>
              <c:yMode val="edge"/>
              <c:x val="1.1128838733018807E-2"/>
              <c:y val="0.28954647482151674"/>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0066816"/>
        <c:crosses val="autoZero"/>
        <c:crossBetween val="between"/>
      </c:valAx>
      <c:spPr>
        <a:noFill/>
        <a:ln w="25400">
          <a:noFill/>
        </a:ln>
      </c:spPr>
    </c:plotArea>
    <c:legend>
      <c:legendPos val="r"/>
      <c:layout>
        <c:manualLayout>
          <c:xMode val="edge"/>
          <c:yMode val="edge"/>
          <c:x val="3.0640177993782842E-2"/>
          <c:y val="0.89588629044914003"/>
          <c:w val="0.93421099416681141"/>
          <c:h val="0.10215873500514042"/>
        </c:manualLayout>
      </c:layout>
      <c:overlay val="0"/>
      <c:spPr>
        <a:solidFill>
          <a:srgbClr val="FFFFFF"/>
        </a:solidFill>
        <a:ln w="3175">
          <a:noFill/>
          <a:prstDash val="solid"/>
        </a:ln>
      </c:spPr>
      <c:txPr>
        <a:bodyPr/>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3175">
      <a:noFill/>
      <a:prstDash val="solid"/>
    </a:ln>
  </c:spPr>
  <c:txPr>
    <a:bodyPr/>
    <a:lstStyle/>
    <a:p>
      <a:pPr>
        <a:defRPr sz="17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400">
                <a:latin typeface="Times New Roman" pitchFamily="18" charset="0"/>
                <a:cs typeface="Times New Roman" pitchFamily="18" charset="0"/>
              </a:rPr>
              <a:t>Соотношение </a:t>
            </a:r>
            <a:r>
              <a:rPr lang="ru-RU" sz="1400" b="1" i="0" u="none" strike="noStrike" baseline="0">
                <a:effectLst/>
                <a:latin typeface="Times New Roman" pitchFamily="18" charset="0"/>
                <a:cs typeface="Times New Roman" pitchFamily="18" charset="0"/>
              </a:rPr>
              <a:t>по сумме совокупных дотаций на одного жителя среди </a:t>
            </a:r>
            <a:r>
              <a:rPr lang="ru-RU" sz="1400">
                <a:latin typeface="Times New Roman" pitchFamily="18" charset="0"/>
                <a:cs typeface="Times New Roman" pitchFamily="18" charset="0"/>
              </a:rPr>
              <a:t>субъектов РФ за 2012 год</a:t>
            </a:r>
          </a:p>
        </c:rich>
      </c:tx>
      <c:layout>
        <c:manualLayout>
          <c:xMode val="edge"/>
          <c:yMode val="edge"/>
          <c:x val="0.1033558835922781"/>
          <c:y val="2.1822149481723951E-2"/>
        </c:manualLayout>
      </c:layout>
      <c:overlay val="0"/>
    </c:title>
    <c:autoTitleDeleted val="0"/>
    <c:view3D>
      <c:rotX val="15"/>
      <c:rotY val="20"/>
      <c:rAngAx val="1"/>
    </c:view3D>
    <c:floor>
      <c:thickness val="0"/>
      <c:spPr>
        <a:solidFill>
          <a:schemeClr val="accent5">
            <a:lumMod val="20000"/>
            <a:lumOff val="80000"/>
          </a:schemeClr>
        </a:solidFill>
      </c:spPr>
    </c:floor>
    <c:sideWall>
      <c:thickness val="0"/>
      <c:spPr>
        <a:solidFill>
          <a:schemeClr val="accent5">
            <a:lumMod val="20000"/>
            <a:lumOff val="80000"/>
          </a:schemeClr>
        </a:solidFill>
      </c:spPr>
    </c:sideWall>
    <c:backWall>
      <c:thickness val="0"/>
      <c:spPr>
        <a:solidFill>
          <a:schemeClr val="accent5">
            <a:lumMod val="20000"/>
            <a:lumOff val="80000"/>
          </a:schemeClr>
        </a:solidFill>
      </c:spPr>
    </c:backWall>
    <c:plotArea>
      <c:layout/>
      <c:bar3DChart>
        <c:barDir val="col"/>
        <c:grouping val="clustered"/>
        <c:varyColors val="0"/>
        <c:ser>
          <c:idx val="0"/>
          <c:order val="0"/>
          <c:spPr>
            <a:solidFill>
              <a:schemeClr val="accent3">
                <a:lumMod val="60000"/>
                <a:lumOff val="40000"/>
              </a:schemeClr>
            </a:solidFill>
          </c:spPr>
          <c:invertIfNegative val="0"/>
          <c:dPt>
            <c:idx val="5"/>
            <c:invertIfNegative val="0"/>
            <c:bubble3D val="0"/>
            <c:spPr>
              <a:solidFill>
                <a:schemeClr val="bg2">
                  <a:lumMod val="75000"/>
                </a:schemeClr>
              </a:solidFill>
            </c:spPr>
          </c:dPt>
          <c:dLbls>
            <c:dLbl>
              <c:idx val="5"/>
              <c:layout>
                <c:manualLayout>
                  <c:x val="1.3681332675685399E-2"/>
                  <c:y val="0"/>
                </c:manualLayout>
              </c:layout>
              <c:showLegendKey val="0"/>
              <c:showVal val="1"/>
              <c:showCatName val="0"/>
              <c:showSerName val="0"/>
              <c:showPercent val="0"/>
              <c:showBubbleSize val="0"/>
            </c:dLbl>
            <c:dLbl>
              <c:idx val="6"/>
              <c:layout>
                <c:manualLayout>
                  <c:x val="2.7362511455615381E-2"/>
                  <c:y val="0"/>
                </c:manualLayout>
              </c:layout>
              <c:showLegendKey val="0"/>
              <c:showVal val="1"/>
              <c:showCatName val="0"/>
              <c:showSerName val="0"/>
              <c:showPercent val="0"/>
              <c:showBubbleSize val="0"/>
            </c:dLbl>
            <c:dLbl>
              <c:idx val="8"/>
              <c:layout>
                <c:manualLayout>
                  <c:x val="7.8179043861059828E-3"/>
                  <c:y val="0"/>
                </c:manualLayout>
              </c:layout>
              <c:showLegendKey val="0"/>
              <c:showVal val="1"/>
              <c:showCatName val="0"/>
              <c:showSerName val="0"/>
              <c:showPercent val="0"/>
              <c:showBubbleSize val="0"/>
            </c:dLbl>
            <c:dLbl>
              <c:idx val="9"/>
              <c:layout>
                <c:manualLayout>
                  <c:x val="1.7590284868738464E-2"/>
                  <c:y val="0"/>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Лист1!$B$6:$B$15</c:f>
              <c:strCache>
                <c:ptCount val="10"/>
                <c:pt idx="0">
                  <c:v>Камчатский край</c:v>
                </c:pt>
                <c:pt idx="1">
                  <c:v>Чукотский автономный округ</c:v>
                </c:pt>
                <c:pt idx="2">
                  <c:v>Магаданская область</c:v>
                </c:pt>
                <c:pt idx="3">
                  <c:v>Республика Саха (Якутия)</c:v>
                </c:pt>
                <c:pt idx="4">
                  <c:v>Республика Тыва</c:v>
                </c:pt>
                <c:pt idx="5">
                  <c:v>Чеченская Республика</c:v>
                </c:pt>
                <c:pt idx="6">
                  <c:v>Республика Алтай</c:v>
                </c:pt>
                <c:pt idx="7">
                  <c:v>Республика Ингушетия</c:v>
                </c:pt>
                <c:pt idx="8">
                  <c:v>Карачаево-Черкесская Республика</c:v>
                </c:pt>
                <c:pt idx="9">
                  <c:v>Республика Бурятия</c:v>
                </c:pt>
              </c:strCache>
            </c:strRef>
          </c:cat>
          <c:val>
            <c:numRef>
              <c:f>Лист1!$M$6:$M$15</c:f>
              <c:numCache>
                <c:formatCode>#,##0.00</c:formatCode>
                <c:ptCount val="10"/>
                <c:pt idx="0">
                  <c:v>94680.370863736898</c:v>
                </c:pt>
                <c:pt idx="1">
                  <c:v>59433.298542733362</c:v>
                </c:pt>
                <c:pt idx="2">
                  <c:v>54378.923325325879</c:v>
                </c:pt>
                <c:pt idx="3">
                  <c:v>46994.915444023522</c:v>
                </c:pt>
                <c:pt idx="4">
                  <c:v>32299.827997165496</c:v>
                </c:pt>
                <c:pt idx="5">
                  <c:v>31422.832694353045</c:v>
                </c:pt>
                <c:pt idx="6">
                  <c:v>30006.742764233826</c:v>
                </c:pt>
                <c:pt idx="7">
                  <c:v>18814.525330408927</c:v>
                </c:pt>
                <c:pt idx="8">
                  <c:v>16513.086233461272</c:v>
                </c:pt>
                <c:pt idx="9">
                  <c:v>13442.405614266163</c:v>
                </c:pt>
              </c:numCache>
            </c:numRef>
          </c:val>
        </c:ser>
        <c:dLbls>
          <c:showLegendKey val="0"/>
          <c:showVal val="0"/>
          <c:showCatName val="0"/>
          <c:showSerName val="0"/>
          <c:showPercent val="0"/>
          <c:showBubbleSize val="0"/>
        </c:dLbls>
        <c:gapWidth val="150"/>
        <c:shape val="box"/>
        <c:axId val="250152064"/>
        <c:axId val="250153600"/>
        <c:axId val="0"/>
      </c:bar3DChart>
      <c:catAx>
        <c:axId val="250152064"/>
        <c:scaling>
          <c:orientation val="minMax"/>
        </c:scaling>
        <c:delete val="0"/>
        <c:axPos val="b"/>
        <c:majorTickMark val="out"/>
        <c:minorTickMark val="none"/>
        <c:tickLblPos val="nextTo"/>
        <c:txPr>
          <a:bodyPr rot="-1680000"/>
          <a:lstStyle/>
          <a:p>
            <a:pPr>
              <a:defRPr sz="900" b="1">
                <a:latin typeface="Times New Roman" pitchFamily="18" charset="0"/>
                <a:cs typeface="Times New Roman" pitchFamily="18" charset="0"/>
              </a:defRPr>
            </a:pPr>
            <a:endParaRPr lang="ru-RU"/>
          </a:p>
        </c:txPr>
        <c:crossAx val="250153600"/>
        <c:crosses val="autoZero"/>
        <c:auto val="1"/>
        <c:lblAlgn val="ctr"/>
        <c:lblOffset val="100"/>
        <c:noMultiLvlLbl val="0"/>
      </c:catAx>
      <c:valAx>
        <c:axId val="250153600"/>
        <c:scaling>
          <c:orientation val="minMax"/>
        </c:scaling>
        <c:delete val="0"/>
        <c:axPos val="l"/>
        <c:majorGridlines/>
        <c:numFmt formatCode="#,##0.00" sourceLinked="1"/>
        <c:majorTickMark val="out"/>
        <c:minorTickMark val="none"/>
        <c:tickLblPos val="nextTo"/>
        <c:txPr>
          <a:bodyPr/>
          <a:lstStyle/>
          <a:p>
            <a:pPr>
              <a:defRPr sz="1000" b="1">
                <a:latin typeface="Times New Roman" pitchFamily="18" charset="0"/>
                <a:cs typeface="Times New Roman" pitchFamily="18" charset="0"/>
              </a:defRPr>
            </a:pPr>
            <a:endParaRPr lang="ru-RU"/>
          </a:p>
        </c:txPr>
        <c:crossAx val="250152064"/>
        <c:crosses val="autoZero"/>
        <c:crossBetween val="between"/>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Темпы роста ВВП Китая, %</a:t>
            </a:r>
          </a:p>
        </c:rich>
      </c:tx>
      <c:layout>
        <c:manualLayout>
          <c:xMode val="edge"/>
          <c:yMode val="edge"/>
          <c:x val="0.28052836532688313"/>
          <c:y val="9.8643637045268372E-3"/>
        </c:manualLayout>
      </c:layout>
      <c:overlay val="0"/>
    </c:title>
    <c:autoTitleDeleted val="0"/>
    <c:plotArea>
      <c:layout/>
      <c:lineChart>
        <c:grouping val="standard"/>
        <c:varyColors val="0"/>
        <c:ser>
          <c:idx val="0"/>
          <c:order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Лист12!$C$7:$C$16</c:f>
              <c:strCache>
                <c:ptCount val="10"/>
                <c:pt idx="0">
                  <c:v>2003 год</c:v>
                </c:pt>
                <c:pt idx="1">
                  <c:v>2004 год</c:v>
                </c:pt>
                <c:pt idx="2">
                  <c:v>2005 год</c:v>
                </c:pt>
                <c:pt idx="3">
                  <c:v>2006 год</c:v>
                </c:pt>
                <c:pt idx="4">
                  <c:v>2007 год</c:v>
                </c:pt>
                <c:pt idx="5">
                  <c:v>2008 год</c:v>
                </c:pt>
                <c:pt idx="6">
                  <c:v>2009 год</c:v>
                </c:pt>
                <c:pt idx="7">
                  <c:v>2010 год</c:v>
                </c:pt>
                <c:pt idx="8">
                  <c:v>2011 год</c:v>
                </c:pt>
                <c:pt idx="9">
                  <c:v>2012 год</c:v>
                </c:pt>
              </c:strCache>
            </c:strRef>
          </c:cat>
          <c:val>
            <c:numRef>
              <c:f>Лист12!$D$7:$D$16</c:f>
              <c:numCache>
                <c:formatCode>General</c:formatCode>
                <c:ptCount val="10"/>
                <c:pt idx="0">
                  <c:v>10</c:v>
                </c:pt>
                <c:pt idx="1">
                  <c:v>10.1</c:v>
                </c:pt>
                <c:pt idx="2">
                  <c:v>11.3</c:v>
                </c:pt>
                <c:pt idx="3">
                  <c:v>12.7</c:v>
                </c:pt>
                <c:pt idx="4">
                  <c:v>14.2</c:v>
                </c:pt>
                <c:pt idx="5">
                  <c:v>9.6</c:v>
                </c:pt>
                <c:pt idx="6">
                  <c:v>9.1999999999999993</c:v>
                </c:pt>
                <c:pt idx="7">
                  <c:v>10.4</c:v>
                </c:pt>
                <c:pt idx="8">
                  <c:v>9.1999999999999993</c:v>
                </c:pt>
                <c:pt idx="9">
                  <c:v>7.8</c:v>
                </c:pt>
              </c:numCache>
            </c:numRef>
          </c:val>
          <c:smooth val="0"/>
        </c:ser>
        <c:dLbls>
          <c:showLegendKey val="0"/>
          <c:showVal val="1"/>
          <c:showCatName val="0"/>
          <c:showSerName val="0"/>
          <c:showPercent val="0"/>
          <c:showBubbleSize val="0"/>
        </c:dLbls>
        <c:marker val="1"/>
        <c:smooth val="0"/>
        <c:axId val="115208960"/>
        <c:axId val="115211648"/>
      </c:lineChart>
      <c:catAx>
        <c:axId val="115208960"/>
        <c:scaling>
          <c:orientation val="minMax"/>
        </c:scaling>
        <c:delete val="0"/>
        <c:axPos val="b"/>
        <c:majorTickMark val="out"/>
        <c:minorTickMark val="none"/>
        <c:tickLblPos val="nextTo"/>
        <c:txPr>
          <a:bodyPr rot="-2460000"/>
          <a:lstStyle/>
          <a:p>
            <a:pPr>
              <a:defRPr sz="1200" b="1">
                <a:latin typeface="Times New Roman" pitchFamily="18" charset="0"/>
                <a:cs typeface="Times New Roman" pitchFamily="18" charset="0"/>
              </a:defRPr>
            </a:pPr>
            <a:endParaRPr lang="ru-RU"/>
          </a:p>
        </c:txPr>
        <c:crossAx val="115211648"/>
        <c:crosses val="autoZero"/>
        <c:auto val="1"/>
        <c:lblAlgn val="ctr"/>
        <c:lblOffset val="100"/>
        <c:noMultiLvlLbl val="0"/>
      </c:catAx>
      <c:valAx>
        <c:axId val="115211648"/>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5208960"/>
        <c:crosses val="autoZero"/>
        <c:crossBetween val="between"/>
      </c:valAx>
    </c:plotArea>
    <c:plotVisOnly val="1"/>
    <c:dispBlanksAs val="gap"/>
    <c:showDLblsOverMax val="0"/>
  </c:chart>
  <c:spPr>
    <a:ln>
      <a:noFill/>
    </a:ln>
  </c:sp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Удельный вес дотаций в структуре доходнов бюджетов </a:t>
            </a:r>
          </a:p>
          <a:p>
            <a:pPr>
              <a:defRPr/>
            </a:pPr>
            <a:r>
              <a:rPr lang="ru-RU" sz="1400">
                <a:latin typeface="Times New Roman" pitchFamily="18" charset="0"/>
                <a:cs typeface="Times New Roman" pitchFamily="18" charset="0"/>
              </a:rPr>
              <a:t>субъектов РФ</a:t>
            </a:r>
          </a:p>
        </c:rich>
      </c:tx>
      <c:overlay val="0"/>
    </c:title>
    <c:autoTitleDeleted val="0"/>
    <c:view3D>
      <c:rotX val="15"/>
      <c:rotY val="20"/>
      <c:rAngAx val="1"/>
    </c:view3D>
    <c:floor>
      <c:thickness val="0"/>
      <c:spPr>
        <a:solidFill>
          <a:schemeClr val="accent3">
            <a:lumMod val="20000"/>
            <a:lumOff val="80000"/>
          </a:schemeClr>
        </a:solidFill>
      </c:spPr>
    </c:floor>
    <c:sideWall>
      <c:thickness val="0"/>
      <c:spPr>
        <a:solidFill>
          <a:schemeClr val="accent3">
            <a:lumMod val="20000"/>
            <a:lumOff val="80000"/>
          </a:schemeClr>
        </a:solidFill>
      </c:spPr>
    </c:sideWall>
    <c:backWall>
      <c:thickness val="0"/>
      <c:spPr>
        <a:solidFill>
          <a:schemeClr val="accent3">
            <a:lumMod val="20000"/>
            <a:lumOff val="80000"/>
          </a:schemeClr>
        </a:solidFill>
      </c:spPr>
    </c:backWall>
    <c:plotArea>
      <c:layout/>
      <c:bar3DChart>
        <c:barDir val="col"/>
        <c:grouping val="clustered"/>
        <c:varyColors val="0"/>
        <c:ser>
          <c:idx val="0"/>
          <c:order val="0"/>
          <c:spPr>
            <a:solidFill>
              <a:schemeClr val="accent5">
                <a:lumMod val="60000"/>
                <a:lumOff val="40000"/>
              </a:schemeClr>
            </a:solidFill>
          </c:spPr>
          <c:invertIfNegative val="0"/>
          <c:dPt>
            <c:idx val="5"/>
            <c:invertIfNegative val="0"/>
            <c:bubble3D val="0"/>
            <c:spPr>
              <a:solidFill>
                <a:schemeClr val="accent1">
                  <a:lumMod val="60000"/>
                  <a:lumOff val="40000"/>
                </a:schemeClr>
              </a:solidFill>
            </c:spPr>
          </c:dPt>
          <c:dLbls>
            <c:txPr>
              <a:bodyPr/>
              <a:lstStyle/>
              <a:p>
                <a:pPr>
                  <a:defRPr sz="105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Лист1!$B$6:$B$15</c:f>
              <c:strCache>
                <c:ptCount val="10"/>
                <c:pt idx="0">
                  <c:v>Камчатский край</c:v>
                </c:pt>
                <c:pt idx="1">
                  <c:v>Чукотский автономный округ</c:v>
                </c:pt>
                <c:pt idx="2">
                  <c:v>Магаданская область</c:v>
                </c:pt>
                <c:pt idx="3">
                  <c:v>Республика Саха (Якутия)</c:v>
                </c:pt>
                <c:pt idx="4">
                  <c:v>Республика Тыва</c:v>
                </c:pt>
                <c:pt idx="5">
                  <c:v>Чеченская Республика</c:v>
                </c:pt>
                <c:pt idx="6">
                  <c:v>Республика Алтай</c:v>
                </c:pt>
                <c:pt idx="7">
                  <c:v>Республика Ингушетия</c:v>
                </c:pt>
                <c:pt idx="8">
                  <c:v>Карачаево-Черкесская Республика</c:v>
                </c:pt>
                <c:pt idx="9">
                  <c:v>Республика Бурятия</c:v>
                </c:pt>
              </c:strCache>
            </c:strRef>
          </c:cat>
          <c:val>
            <c:numRef>
              <c:f>Лист1!$I$6:$I$15</c:f>
              <c:numCache>
                <c:formatCode>#,##0.00</c:formatCode>
                <c:ptCount val="10"/>
                <c:pt idx="0">
                  <c:v>64.515565605408327</c:v>
                </c:pt>
                <c:pt idx="1">
                  <c:v>20.110865610052592</c:v>
                </c:pt>
                <c:pt idx="2">
                  <c:v>36.522594962910574</c:v>
                </c:pt>
                <c:pt idx="3">
                  <c:v>35.654784420074897</c:v>
                </c:pt>
                <c:pt idx="4">
                  <c:v>50.88173741217895</c:v>
                </c:pt>
                <c:pt idx="5">
                  <c:v>56.051182128053497</c:v>
                </c:pt>
                <c:pt idx="6">
                  <c:v>51.513232217314965</c:v>
                </c:pt>
                <c:pt idx="7">
                  <c:v>41.631957203009598</c:v>
                </c:pt>
                <c:pt idx="8">
                  <c:v>40.851713748614998</c:v>
                </c:pt>
                <c:pt idx="9">
                  <c:v>32.111196338628176</c:v>
                </c:pt>
              </c:numCache>
            </c:numRef>
          </c:val>
        </c:ser>
        <c:dLbls>
          <c:showLegendKey val="0"/>
          <c:showVal val="0"/>
          <c:showCatName val="0"/>
          <c:showSerName val="0"/>
          <c:showPercent val="0"/>
          <c:showBubbleSize val="0"/>
        </c:dLbls>
        <c:gapWidth val="150"/>
        <c:shape val="box"/>
        <c:axId val="250187136"/>
        <c:axId val="250205312"/>
        <c:axId val="0"/>
      </c:bar3DChart>
      <c:catAx>
        <c:axId val="250187136"/>
        <c:scaling>
          <c:orientation val="minMax"/>
        </c:scaling>
        <c:delete val="0"/>
        <c:axPos val="b"/>
        <c:majorTickMark val="out"/>
        <c:minorTickMark val="none"/>
        <c:tickLblPos val="nextTo"/>
        <c:txPr>
          <a:bodyPr rot="-1560000"/>
          <a:lstStyle/>
          <a:p>
            <a:pPr>
              <a:defRPr sz="900" b="1">
                <a:latin typeface="Times New Roman" pitchFamily="18" charset="0"/>
                <a:cs typeface="Times New Roman" pitchFamily="18" charset="0"/>
              </a:defRPr>
            </a:pPr>
            <a:endParaRPr lang="ru-RU"/>
          </a:p>
        </c:txPr>
        <c:crossAx val="250205312"/>
        <c:crosses val="autoZero"/>
        <c:auto val="1"/>
        <c:lblAlgn val="ctr"/>
        <c:lblOffset val="100"/>
        <c:noMultiLvlLbl val="0"/>
      </c:catAx>
      <c:valAx>
        <c:axId val="250205312"/>
        <c:scaling>
          <c:orientation val="minMax"/>
        </c:scaling>
        <c:delete val="0"/>
        <c:axPos val="l"/>
        <c:majorGridlines/>
        <c:numFmt formatCode="#,##0.00" sourceLinked="1"/>
        <c:majorTickMark val="out"/>
        <c:minorTickMark val="none"/>
        <c:tickLblPos val="nextTo"/>
        <c:txPr>
          <a:bodyPr/>
          <a:lstStyle/>
          <a:p>
            <a:pPr>
              <a:defRPr sz="1000" b="1">
                <a:latin typeface="Times New Roman" pitchFamily="18" charset="0"/>
                <a:cs typeface="Times New Roman" pitchFamily="18" charset="0"/>
              </a:defRPr>
            </a:pPr>
            <a:endParaRPr lang="ru-RU"/>
          </a:p>
        </c:txPr>
        <c:crossAx val="250187136"/>
        <c:crosses val="autoZero"/>
        <c:crossBetween val="between"/>
      </c:valAx>
    </c:plotArea>
    <c:plotVisOnly val="1"/>
    <c:dispBlanksAs val="gap"/>
    <c:showDLblsOverMax val="0"/>
  </c:chart>
  <c:spPr>
    <a:ln>
      <a:noFill/>
    </a:ln>
  </c:sp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400">
                <a:latin typeface="Times New Roman" pitchFamily="18" charset="0"/>
                <a:cs typeface="Times New Roman" pitchFamily="18" charset="0"/>
              </a:rPr>
              <a:t>Расходы консолидированных бюджетов субъектов СКФО в расчете на душу населения за 2012 год
</a:t>
            </a:r>
          </a:p>
        </c:rich>
      </c:tx>
      <c:layout>
        <c:manualLayout>
          <c:xMode val="edge"/>
          <c:yMode val="edge"/>
          <c:x val="0.11483756707843001"/>
          <c:y val="2.9213290174535519E-3"/>
        </c:manualLayout>
      </c:layout>
      <c:overlay val="0"/>
      <c:spPr>
        <a:noFill/>
        <a:ln w="25400">
          <a:noFill/>
        </a:ln>
      </c:spPr>
    </c:title>
    <c:autoTitleDeleted val="0"/>
    <c:view3D>
      <c:rotX val="15"/>
      <c:hPercent val="50"/>
      <c:rotY val="20"/>
      <c:depthPercent val="100"/>
      <c:rAngAx val="1"/>
    </c:view3D>
    <c:floor>
      <c:thickness val="0"/>
      <c:spPr>
        <a:solidFill>
          <a:srgbClr val="C0C0C0"/>
        </a:solidFill>
        <a:ln w="3175">
          <a:solidFill>
            <a:srgbClr val="000000"/>
          </a:solidFill>
          <a:prstDash val="solid"/>
        </a:ln>
      </c:spPr>
    </c:floor>
    <c:sideWall>
      <c:thickness val="0"/>
      <c:spPr>
        <a:solidFill>
          <a:srgbClr val="99CCFF"/>
        </a:solidFill>
        <a:ln w="12700">
          <a:solidFill>
            <a:srgbClr val="808080"/>
          </a:solidFill>
          <a:prstDash val="solid"/>
        </a:ln>
      </c:spPr>
    </c:sideWall>
    <c:backWall>
      <c:thickness val="0"/>
      <c:spPr>
        <a:solidFill>
          <a:srgbClr val="99CCFF"/>
        </a:solidFill>
        <a:ln w="12700">
          <a:solidFill>
            <a:srgbClr val="808080"/>
          </a:solidFill>
          <a:prstDash val="solid"/>
        </a:ln>
      </c:spPr>
    </c:backWall>
    <c:plotArea>
      <c:layout>
        <c:manualLayout>
          <c:layoutTarget val="inner"/>
          <c:xMode val="edge"/>
          <c:yMode val="edge"/>
          <c:x val="0.10569127029852975"/>
          <c:y val="0.12208258527827648"/>
          <c:w val="0.88753462219661561"/>
          <c:h val="0.62716935966487131"/>
        </c:manualLayout>
      </c:layout>
      <c:bar3DChart>
        <c:barDir val="col"/>
        <c:grouping val="clustered"/>
        <c:varyColors val="0"/>
        <c:ser>
          <c:idx val="0"/>
          <c:order val="0"/>
          <c:tx>
            <c:strRef>
              <c:f>Лист1!$F$3</c:f>
              <c:strCache>
                <c:ptCount val="1"/>
                <c:pt idx="0">
                  <c:v>Расходы консол-ных бюджетов в расчете на душу населения,
 руб.</c:v>
                </c:pt>
              </c:strCache>
            </c:strRef>
          </c:tx>
          <c:spPr>
            <a:solidFill>
              <a:srgbClr val="FF99CC"/>
            </a:solidFill>
            <a:ln w="12700">
              <a:solidFill>
                <a:srgbClr val="000000"/>
              </a:solidFill>
              <a:prstDash val="solid"/>
            </a:ln>
          </c:spPr>
          <c:invertIfNegative val="0"/>
          <c:dPt>
            <c:idx val="0"/>
            <c:invertIfNegative val="0"/>
            <c:bubble3D val="0"/>
            <c:spPr>
              <a:solidFill>
                <a:schemeClr val="accent3">
                  <a:lumMod val="40000"/>
                  <a:lumOff val="60000"/>
                </a:schemeClr>
              </a:solidFill>
              <a:ln w="12700">
                <a:solidFill>
                  <a:srgbClr val="000000"/>
                </a:solidFill>
                <a:prstDash val="solid"/>
              </a:ln>
            </c:spPr>
          </c:dPt>
          <c:dPt>
            <c:idx val="6"/>
            <c:invertIfNegative val="0"/>
            <c:bubble3D val="0"/>
            <c:spPr>
              <a:solidFill>
                <a:schemeClr val="accent3">
                  <a:lumMod val="60000"/>
                  <a:lumOff val="40000"/>
                </a:schemeClr>
              </a:solidFill>
              <a:ln w="12700">
                <a:solidFill>
                  <a:srgbClr val="000000"/>
                </a:solidFill>
                <a:prstDash val="solid"/>
              </a:ln>
            </c:spPr>
          </c:dPt>
          <c:dLbls>
            <c:dLbl>
              <c:idx val="0"/>
              <c:layout>
                <c:manualLayout>
                  <c:x val="-1.3945970168363101E-3"/>
                  <c:y val="0.25399152754020649"/>
                </c:manualLayout>
              </c:layout>
              <c:showLegendKey val="0"/>
              <c:showVal val="1"/>
              <c:showCatName val="0"/>
              <c:showSerName val="0"/>
              <c:showPercent val="0"/>
              <c:showBubbleSize val="0"/>
            </c:dLbl>
            <c:dLbl>
              <c:idx val="1"/>
              <c:layout>
                <c:manualLayout>
                  <c:x val="-9.9758871604464067E-4"/>
                  <c:y val="0.1868977508870637"/>
                </c:manualLayout>
              </c:layout>
              <c:showLegendKey val="0"/>
              <c:showVal val="1"/>
              <c:showCatName val="0"/>
              <c:showSerName val="0"/>
              <c:showPercent val="0"/>
              <c:showBubbleSize val="0"/>
            </c:dLbl>
            <c:dLbl>
              <c:idx val="2"/>
              <c:layout>
                <c:manualLayout>
                  <c:x val="-2.6193372169942174E-4"/>
                  <c:y val="0.36869336575297929"/>
                </c:manualLayout>
              </c:layout>
              <c:showLegendKey val="0"/>
              <c:showVal val="1"/>
              <c:showCatName val="0"/>
              <c:showSerName val="0"/>
              <c:showPercent val="0"/>
              <c:showBubbleSize val="0"/>
            </c:dLbl>
            <c:dLbl>
              <c:idx val="3"/>
              <c:layout>
                <c:manualLayout>
                  <c:x val="-2.0367880844162771E-4"/>
                  <c:y val="0.19432448861307058"/>
                </c:manualLayout>
              </c:layout>
              <c:showLegendKey val="0"/>
              <c:showVal val="1"/>
              <c:showCatName val="0"/>
              <c:showSerName val="0"/>
              <c:showPercent val="0"/>
              <c:showBubbleSize val="0"/>
            </c:dLbl>
            <c:dLbl>
              <c:idx val="4"/>
              <c:layout>
                <c:manualLayout>
                  <c:x val="-1.4553058916415935E-4"/>
                  <c:y val="0.3213084719885777"/>
                </c:manualLayout>
              </c:layout>
              <c:showLegendKey val="0"/>
              <c:showVal val="1"/>
              <c:showCatName val="0"/>
              <c:showSerName val="0"/>
              <c:showPercent val="0"/>
              <c:showBubbleSize val="0"/>
            </c:dLbl>
            <c:dLbl>
              <c:idx val="5"/>
              <c:layout>
                <c:manualLayout>
                  <c:x val="2.6227514243646372E-3"/>
                  <c:y val="0.19975930297761255"/>
                </c:manualLayout>
              </c:layout>
              <c:showLegendKey val="0"/>
              <c:showVal val="1"/>
              <c:showCatName val="0"/>
              <c:showSerName val="0"/>
              <c:showPercent val="0"/>
              <c:showBubbleSize val="0"/>
            </c:dLbl>
            <c:dLbl>
              <c:idx val="6"/>
              <c:layout>
                <c:manualLayout>
                  <c:x val="-2.7391545568998996E-3"/>
                  <c:y val="0.47013632272626604"/>
                </c:manualLayout>
              </c:layout>
              <c:showLegendKey val="0"/>
              <c:showVal val="1"/>
              <c:showCatName val="0"/>
              <c:showSerName val="0"/>
              <c:showPercent val="0"/>
              <c:showBubbleSize val="0"/>
            </c:dLbl>
            <c:dLbl>
              <c:idx val="7"/>
              <c:layout>
                <c:manualLayout>
                  <c:x val="1.3841410067643983E-3"/>
                  <c:y val="0.21753130050844183"/>
                </c:manualLayout>
              </c:layout>
              <c:showLegendKey val="0"/>
              <c:showVal val="1"/>
              <c:showCatName val="0"/>
              <c:showSerName val="0"/>
              <c:showPercent val="0"/>
              <c:showBubbleSize val="0"/>
            </c:dLbl>
            <c:dLbl>
              <c:idx val="8"/>
              <c:layout>
                <c:manualLayout>
                  <c:xMode val="edge"/>
                  <c:yMode val="edge"/>
                  <c:x val="0.89634235298204168"/>
                  <c:y val="0.47396768402154404"/>
                </c:manualLayout>
              </c:layout>
              <c:showLegendKey val="0"/>
              <c:showVal val="1"/>
              <c:showCatName val="0"/>
              <c:showSerName val="0"/>
              <c:showPercent val="0"/>
              <c:showBubbleSize val="0"/>
            </c:dLbl>
            <c:dLbl>
              <c:idx val="9"/>
              <c:layout>
                <c:manualLayout>
                  <c:xMode val="edge"/>
                  <c:yMode val="edge"/>
                  <c:x val="0.90142365883794895"/>
                  <c:y val="0.45960502692998206"/>
                </c:manualLayout>
              </c:layout>
              <c:showLegendKey val="0"/>
              <c:showVal val="1"/>
              <c:showCatName val="0"/>
              <c:showSerName val="0"/>
              <c:showPercent val="0"/>
              <c:showBubbleSize val="0"/>
            </c:dLbl>
            <c:dLbl>
              <c:idx val="10"/>
              <c:layout>
                <c:manualLayout>
                  <c:xMode val="edge"/>
                  <c:yMode val="edge"/>
                  <c:x val="0.90650496469385633"/>
                  <c:y val="0.45780969479353678"/>
                </c:manualLayout>
              </c:layout>
              <c:showLegendKey val="0"/>
              <c:showVal val="1"/>
              <c:showCatName val="0"/>
              <c:showSerName val="0"/>
              <c:showPercent val="0"/>
              <c:showBubbleSize val="0"/>
            </c:dLbl>
            <c:dLbl>
              <c:idx val="11"/>
              <c:layout>
                <c:manualLayout>
                  <c:xMode val="edge"/>
                  <c:yMode val="edge"/>
                  <c:x val="0.90853748703621906"/>
                  <c:y val="0.50089766606822261"/>
                </c:manualLayout>
              </c:layout>
              <c:showLegendKey val="0"/>
              <c:showVal val="1"/>
              <c:showCatName val="0"/>
              <c:showSerName val="0"/>
              <c:showPercent val="0"/>
              <c:showBubbleSize val="0"/>
            </c:dLbl>
            <c:dLbl>
              <c:idx val="12"/>
              <c:layout>
                <c:manualLayout>
                  <c:xMode val="edge"/>
                  <c:yMode val="edge"/>
                  <c:x val="0.91361879289212644"/>
                  <c:y val="0.48833034111310591"/>
                </c:manualLayout>
              </c:layout>
              <c:showLegendKey val="0"/>
              <c:showVal val="1"/>
              <c:showCatName val="0"/>
              <c:showSerName val="0"/>
              <c:showPercent val="0"/>
              <c:showBubbleSize val="0"/>
            </c:dLbl>
            <c:dLbl>
              <c:idx val="13"/>
              <c:layout>
                <c:manualLayout>
                  <c:xMode val="edge"/>
                  <c:yMode val="edge"/>
                  <c:x val="0.91463505406330803"/>
                  <c:y val="0.46858168761220836"/>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Лист1!$B$4:$B$11</c:f>
              <c:strCache>
                <c:ptCount val="8"/>
                <c:pt idx="0">
                  <c:v>В целом по СКФО</c:v>
                </c:pt>
                <c:pt idx="1">
                  <c:v>Республика Дагестан</c:v>
                </c:pt>
                <c:pt idx="2">
                  <c:v>Республика Ингушетия</c:v>
                </c:pt>
                <c:pt idx="3">
                  <c:v>Кабардино-Балкарская республика</c:v>
                </c:pt>
                <c:pt idx="4">
                  <c:v>Карачаево-Черкесская республика</c:v>
                </c:pt>
                <c:pt idx="5">
                  <c:v>Республика Северная Осетия</c:v>
                </c:pt>
                <c:pt idx="6">
                  <c:v>Чеченская Республика*</c:v>
                </c:pt>
                <c:pt idx="7">
                  <c:v>Ставропольский край</c:v>
                </c:pt>
              </c:strCache>
            </c:strRef>
          </c:cat>
          <c:val>
            <c:numRef>
              <c:f>Лист1!$F$4:$F$11</c:f>
              <c:numCache>
                <c:formatCode>#,##0.0</c:formatCode>
                <c:ptCount val="8"/>
                <c:pt idx="0">
                  <c:v>35464.216273241596</c:v>
                </c:pt>
                <c:pt idx="1">
                  <c:v>27530.472930783239</c:v>
                </c:pt>
                <c:pt idx="2">
                  <c:v>46718.630997569271</c:v>
                </c:pt>
                <c:pt idx="3">
                  <c:v>29063.054758483075</c:v>
                </c:pt>
                <c:pt idx="4">
                  <c:v>43673.735814109226</c:v>
                </c:pt>
                <c:pt idx="5">
                  <c:v>31022.16740525376</c:v>
                </c:pt>
                <c:pt idx="6">
                  <c:v>58524.919114463155</c:v>
                </c:pt>
                <c:pt idx="7">
                  <c:v>32815.124368132987</c:v>
                </c:pt>
              </c:numCache>
            </c:numRef>
          </c:val>
        </c:ser>
        <c:dLbls>
          <c:showLegendKey val="0"/>
          <c:showVal val="0"/>
          <c:showCatName val="0"/>
          <c:showSerName val="0"/>
          <c:showPercent val="0"/>
          <c:showBubbleSize val="0"/>
        </c:dLbls>
        <c:gapWidth val="150"/>
        <c:shape val="box"/>
        <c:axId val="250235136"/>
        <c:axId val="250257408"/>
        <c:axId val="0"/>
      </c:bar3DChart>
      <c:catAx>
        <c:axId val="250235136"/>
        <c:scaling>
          <c:orientation val="minMax"/>
        </c:scaling>
        <c:delete val="0"/>
        <c:axPos val="b"/>
        <c:numFmt formatCode="General" sourceLinked="1"/>
        <c:majorTickMark val="out"/>
        <c:minorTickMark val="none"/>
        <c:tickLblPos val="low"/>
        <c:spPr>
          <a:ln w="3175">
            <a:solidFill>
              <a:srgbClr val="000000"/>
            </a:solidFill>
            <a:prstDash val="solid"/>
          </a:ln>
        </c:spPr>
        <c:txPr>
          <a:bodyPr rot="-162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0257408"/>
        <c:crosses val="autoZero"/>
        <c:auto val="1"/>
        <c:lblAlgn val="ctr"/>
        <c:lblOffset val="100"/>
        <c:tickLblSkip val="1"/>
        <c:tickMarkSkip val="1"/>
        <c:noMultiLvlLbl val="0"/>
      </c:catAx>
      <c:valAx>
        <c:axId val="250257408"/>
        <c:scaling>
          <c:orientation val="minMax"/>
        </c:scaling>
        <c:delete val="0"/>
        <c:axPos val="l"/>
        <c:majorGridlines>
          <c:spPr>
            <a:ln w="3175">
              <a:solidFill>
                <a:srgbClr val="000000"/>
              </a:solidFill>
              <a:prstDash val="solid"/>
            </a:ln>
          </c:spPr>
        </c:majorGridlines>
        <c:title>
          <c:tx>
            <c:rich>
              <a:bodyPr/>
              <a:lstStyle/>
              <a:p>
                <a:pPr>
                  <a:defRPr sz="1200" b="1" i="0" u="none" strike="noStrike" baseline="0">
                    <a:solidFill>
                      <a:srgbClr val="000000"/>
                    </a:solidFill>
                    <a:latin typeface="Times New Roman" pitchFamily="18" charset="0"/>
                    <a:ea typeface="Arial Cyr"/>
                    <a:cs typeface="Times New Roman" pitchFamily="18" charset="0"/>
                  </a:defRPr>
                </a:pPr>
                <a:r>
                  <a:rPr lang="ru-RU">
                    <a:latin typeface="Times New Roman" pitchFamily="18" charset="0"/>
                    <a:cs typeface="Times New Roman" pitchFamily="18" charset="0"/>
                  </a:rPr>
                  <a:t>Рублей</a:t>
                </a:r>
              </a:p>
            </c:rich>
          </c:tx>
          <c:layout>
            <c:manualLayout>
              <c:xMode val="edge"/>
              <c:yMode val="edge"/>
              <c:x val="1.1893052200580234E-2"/>
              <c:y val="0.3753730079408053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0235136"/>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200"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400">
                <a:latin typeface="Times New Roman" pitchFamily="18" charset="0"/>
                <a:cs typeface="Times New Roman" pitchFamily="18" charset="0"/>
              </a:rPr>
              <a:t>Динамика роста расходов бюджетов субъектов СКФО</a:t>
            </a:r>
          </a:p>
        </c:rich>
      </c:tx>
      <c:layout>
        <c:manualLayout>
          <c:xMode val="edge"/>
          <c:yMode val="edge"/>
          <c:x val="0.23394185260311021"/>
          <c:y val="1.7966147088756764E-2"/>
        </c:manualLayout>
      </c:layout>
      <c:overlay val="0"/>
      <c:spPr>
        <a:noFill/>
        <a:ln w="25400">
          <a:noFill/>
        </a:ln>
      </c:spPr>
    </c:title>
    <c:autoTitleDeleted val="0"/>
    <c:view3D>
      <c:rotX val="15"/>
      <c:hPercent val="4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0953346855983773"/>
          <c:y val="9.8378059885371474E-2"/>
          <c:w val="0.87288708586883024"/>
          <c:h val="0.62244987233738636"/>
        </c:manualLayout>
      </c:layout>
      <c:bar3DChart>
        <c:barDir val="col"/>
        <c:grouping val="clustered"/>
        <c:varyColors val="0"/>
        <c:ser>
          <c:idx val="0"/>
          <c:order val="0"/>
          <c:tx>
            <c:strRef>
              <c:f>Лист1!$C$3</c:f>
              <c:strCache>
                <c:ptCount val="1"/>
                <c:pt idx="0">
                  <c:v>Расходы конс-ного бюджета 2011 год, 
тыс. руб.</c:v>
                </c:pt>
              </c:strCache>
            </c:strRef>
          </c:tx>
          <c:spPr>
            <a:solidFill>
              <a:srgbClr val="9999FF"/>
            </a:solidFill>
            <a:ln w="12700">
              <a:solidFill>
                <a:srgbClr val="000000"/>
              </a:solidFill>
              <a:prstDash val="solid"/>
            </a:ln>
          </c:spPr>
          <c:invertIfNegative val="0"/>
          <c:dPt>
            <c:idx val="5"/>
            <c:invertIfNegative val="0"/>
            <c:bubble3D val="0"/>
            <c:spPr>
              <a:solidFill>
                <a:schemeClr val="accent1">
                  <a:lumMod val="60000"/>
                  <a:lumOff val="40000"/>
                </a:schemeClr>
              </a:solidFill>
              <a:ln w="12700">
                <a:solidFill>
                  <a:srgbClr val="000000"/>
                </a:solidFill>
                <a:prstDash val="solid"/>
              </a:ln>
            </c:spPr>
          </c:dPt>
          <c:dLbls>
            <c:dLbl>
              <c:idx val="0"/>
              <c:layout>
                <c:manualLayout>
                  <c:x val="-1.9455252918288294E-3"/>
                  <c:y val="0.25883659715446233"/>
                </c:manualLayout>
              </c:layout>
              <c:showLegendKey val="0"/>
              <c:showVal val="1"/>
              <c:showCatName val="0"/>
              <c:showSerName val="0"/>
              <c:showPercent val="0"/>
              <c:showBubbleSize val="0"/>
            </c:dLbl>
            <c:dLbl>
              <c:idx val="5"/>
              <c:layout>
                <c:manualLayout>
                  <c:x val="1.9457097941668847E-3"/>
                  <c:y val="0.24415123885305379"/>
                </c:manualLayout>
              </c:layout>
              <c:showLegendKey val="0"/>
              <c:showVal val="1"/>
              <c:showCatName val="0"/>
              <c:showSerName val="0"/>
              <c:showPercent val="0"/>
              <c:showBubbleSize val="0"/>
            </c:dLbl>
            <c:dLbl>
              <c:idx val="6"/>
              <c:layout>
                <c:manualLayout>
                  <c:x val="-1.9457097941668847E-3"/>
                  <c:y val="0.27345535986598629"/>
                </c:manualLayout>
              </c:layout>
              <c:showLegendKey val="0"/>
              <c:showVal val="1"/>
              <c:showCatName val="0"/>
              <c:showSerName val="0"/>
              <c:showPercent val="0"/>
              <c:showBubbleSize val="0"/>
            </c:dLbl>
            <c:txPr>
              <a:bodyPr rot="-5400000"/>
              <a:lstStyle/>
              <a:p>
                <a:pPr>
                  <a:defRPr sz="13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Лист1!$B$5:$B$11</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Лист1!$C$5:$C$11</c:f>
              <c:numCache>
                <c:formatCode>#,##0.00</c:formatCode>
                <c:ptCount val="7"/>
                <c:pt idx="0">
                  <c:v>75070571.049050003</c:v>
                </c:pt>
                <c:pt idx="1">
                  <c:v>17027510.455910001</c:v>
                </c:pt>
                <c:pt idx="2">
                  <c:v>25091393.042089999</c:v>
                </c:pt>
                <c:pt idx="3">
                  <c:v>15940361.70009</c:v>
                </c:pt>
                <c:pt idx="4">
                  <c:v>21228736.60771</c:v>
                </c:pt>
                <c:pt idx="5">
                  <c:v>80791844.317519993</c:v>
                </c:pt>
                <c:pt idx="6">
                  <c:v>83991147.670609996</c:v>
                </c:pt>
              </c:numCache>
            </c:numRef>
          </c:val>
        </c:ser>
        <c:ser>
          <c:idx val="1"/>
          <c:order val="1"/>
          <c:tx>
            <c:strRef>
              <c:f>Лист1!$D$3</c:f>
              <c:strCache>
                <c:ptCount val="1"/>
                <c:pt idx="0">
                  <c:v>Расходы конс-ного бюджета 2012 год, 
тыс. руб.</c:v>
                </c:pt>
              </c:strCache>
            </c:strRef>
          </c:tx>
          <c:spPr>
            <a:solidFill>
              <a:schemeClr val="accent2">
                <a:lumMod val="60000"/>
                <a:lumOff val="40000"/>
              </a:schemeClr>
            </a:solidFill>
            <a:ln w="12700">
              <a:solidFill>
                <a:srgbClr val="000000"/>
              </a:solidFill>
              <a:prstDash val="solid"/>
            </a:ln>
          </c:spPr>
          <c:invertIfNegative val="0"/>
          <c:dPt>
            <c:idx val="5"/>
            <c:invertIfNegative val="0"/>
            <c:bubble3D val="0"/>
            <c:spPr>
              <a:solidFill>
                <a:schemeClr val="accent6">
                  <a:lumMod val="60000"/>
                  <a:lumOff val="40000"/>
                </a:schemeClr>
              </a:solidFill>
              <a:ln w="12700">
                <a:solidFill>
                  <a:srgbClr val="000000"/>
                </a:solidFill>
                <a:prstDash val="solid"/>
              </a:ln>
            </c:spPr>
          </c:dPt>
          <c:dLbls>
            <c:dLbl>
              <c:idx val="0"/>
              <c:layout>
                <c:manualLayout>
                  <c:x val="0"/>
                  <c:y val="0.26620364258759371"/>
                </c:manualLayout>
              </c:layout>
              <c:showLegendKey val="0"/>
              <c:showVal val="1"/>
              <c:showCatName val="0"/>
              <c:showSerName val="0"/>
              <c:showPercent val="0"/>
              <c:showBubbleSize val="0"/>
            </c:dLbl>
            <c:dLbl>
              <c:idx val="1"/>
              <c:layout>
                <c:manualLayout>
                  <c:x val="4.0567951318458912E-3"/>
                  <c:y val="-2.4943310657596373E-2"/>
                </c:manualLayout>
              </c:layout>
              <c:showLegendKey val="0"/>
              <c:showVal val="1"/>
              <c:showCatName val="0"/>
              <c:showSerName val="0"/>
              <c:showPercent val="0"/>
              <c:showBubbleSize val="0"/>
            </c:dLbl>
            <c:dLbl>
              <c:idx val="2"/>
              <c:layout>
                <c:manualLayout>
                  <c:x val="1.0818120351588911E-2"/>
                  <c:y val="-1.3605442176870748E-2"/>
                </c:manualLayout>
              </c:layout>
              <c:showLegendKey val="0"/>
              <c:showVal val="1"/>
              <c:showCatName val="0"/>
              <c:showSerName val="0"/>
              <c:showPercent val="0"/>
              <c:showBubbleSize val="0"/>
            </c:dLbl>
            <c:dLbl>
              <c:idx val="3"/>
              <c:layout>
                <c:manualLayout>
                  <c:x val="1.0818120351588911E-2"/>
                  <c:y val="-1.5873015873015872E-2"/>
                </c:manualLayout>
              </c:layout>
              <c:showLegendKey val="0"/>
              <c:showVal val="1"/>
              <c:showCatName val="0"/>
              <c:showSerName val="0"/>
              <c:showPercent val="0"/>
              <c:showBubbleSize val="0"/>
            </c:dLbl>
            <c:dLbl>
              <c:idx val="4"/>
              <c:layout>
                <c:manualLayout>
                  <c:x val="6.7613252197429707E-3"/>
                  <c:y val="-2.9478458049886622E-2"/>
                </c:manualLayout>
              </c:layout>
              <c:showLegendKey val="0"/>
              <c:showVal val="1"/>
              <c:showCatName val="0"/>
              <c:showSerName val="0"/>
              <c:showPercent val="0"/>
              <c:showBubbleSize val="0"/>
            </c:dLbl>
            <c:dLbl>
              <c:idx val="5"/>
              <c:layout>
                <c:manualLayout>
                  <c:x val="0"/>
                  <c:y val="0.24908502860992629"/>
                </c:manualLayout>
              </c:layout>
              <c:showLegendKey val="0"/>
              <c:showVal val="1"/>
              <c:showCatName val="0"/>
              <c:showSerName val="0"/>
              <c:showPercent val="0"/>
              <c:showBubbleSize val="0"/>
            </c:dLbl>
            <c:dLbl>
              <c:idx val="6"/>
              <c:layout>
                <c:manualLayout>
                  <c:x val="7.58826819725085E-4"/>
                  <c:y val="0.2501568197233236"/>
                </c:manualLayout>
              </c:layout>
              <c:showLegendKey val="0"/>
              <c:showVal val="1"/>
              <c:showCatName val="0"/>
              <c:showSerName val="0"/>
              <c:showPercent val="0"/>
              <c:showBubbleSize val="0"/>
            </c:dLbl>
            <c:txPr>
              <a:bodyPr rot="-5400000"/>
              <a:lstStyle/>
              <a:p>
                <a:pPr>
                  <a:defRPr sz="1300" b="1"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Лист1!$B$5:$B$11</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Лист1!$D$5:$D$11</c:f>
              <c:numCache>
                <c:formatCode>#,##0.00</c:formatCode>
                <c:ptCount val="7"/>
                <c:pt idx="0">
                  <c:v>81105736.820639998</c:v>
                </c:pt>
                <c:pt idx="1">
                  <c:v>20661548.151829999</c:v>
                </c:pt>
                <c:pt idx="2">
                  <c:v>24963594.632580001</c:v>
                </c:pt>
                <c:pt idx="3">
                  <c:v>20607321.222679999</c:v>
                </c:pt>
                <c:pt idx="4">
                  <c:v>21905465.914700001</c:v>
                </c:pt>
                <c:pt idx="5">
                  <c:v>77531881.520510003</c:v>
                </c:pt>
                <c:pt idx="6">
                  <c:v>91579956.859720007</c:v>
                </c:pt>
              </c:numCache>
            </c:numRef>
          </c:val>
        </c:ser>
        <c:dLbls>
          <c:showLegendKey val="0"/>
          <c:showVal val="0"/>
          <c:showCatName val="0"/>
          <c:showSerName val="0"/>
          <c:showPercent val="0"/>
          <c:showBubbleSize val="0"/>
        </c:dLbls>
        <c:gapWidth val="100"/>
        <c:shape val="box"/>
        <c:axId val="250301056"/>
        <c:axId val="250327424"/>
        <c:axId val="0"/>
      </c:bar3DChart>
      <c:catAx>
        <c:axId val="250301056"/>
        <c:scaling>
          <c:orientation val="minMax"/>
        </c:scaling>
        <c:delete val="0"/>
        <c:axPos val="b"/>
        <c:numFmt formatCode="General" sourceLinked="1"/>
        <c:majorTickMark val="out"/>
        <c:minorTickMark val="none"/>
        <c:tickLblPos val="low"/>
        <c:spPr>
          <a:ln w="3175">
            <a:solidFill>
              <a:srgbClr val="000000"/>
            </a:solidFill>
            <a:prstDash val="solid"/>
          </a:ln>
        </c:spPr>
        <c:txPr>
          <a:bodyPr rot="-126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0327424"/>
        <c:crosses val="autoZero"/>
        <c:auto val="1"/>
        <c:lblAlgn val="ctr"/>
        <c:lblOffset val="100"/>
        <c:tickLblSkip val="1"/>
        <c:tickMarkSkip val="1"/>
        <c:noMultiLvlLbl val="0"/>
      </c:catAx>
      <c:valAx>
        <c:axId val="250327424"/>
        <c:scaling>
          <c:orientation val="minMax"/>
        </c:scaling>
        <c:delete val="0"/>
        <c:axPos val="l"/>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0301056"/>
        <c:crosses val="autoZero"/>
        <c:crossBetween val="between"/>
      </c:valAx>
      <c:spPr>
        <a:noFill/>
        <a:ln w="25400">
          <a:noFill/>
        </a:ln>
      </c:spPr>
    </c:plotArea>
    <c:legend>
      <c:legendPos val="b"/>
      <c:layout>
        <c:manualLayout>
          <c:xMode val="edge"/>
          <c:yMode val="edge"/>
          <c:x val="9.8377281947261669E-2"/>
          <c:y val="0.90678188860070474"/>
          <c:w val="0.83062880324543609"/>
          <c:h val="9.2696588701892318E-2"/>
        </c:manualLayout>
      </c:layout>
      <c:overlay val="0"/>
      <c:spPr>
        <a:solidFill>
          <a:srgbClr val="FFFFFF"/>
        </a:solidFill>
        <a:ln w="3175">
          <a:noFill/>
          <a:prstDash val="solid"/>
        </a:ln>
      </c:spPr>
      <c:txPr>
        <a:bodyPr/>
        <a:lstStyle/>
        <a:p>
          <a:pPr>
            <a:defRPr sz="1200" b="1" i="0" u="none" strike="noStrike" baseline="0">
              <a:solidFill>
                <a:srgbClr val="000000"/>
              </a:solidFill>
              <a:latin typeface="Times New Roman" pitchFamily="18" charset="0"/>
              <a:ea typeface="Arial Cyr"/>
              <a:cs typeface="Times New Roman" pitchFamily="18" charset="0"/>
            </a:defRPr>
          </a:pPr>
          <a:endParaRPr lang="ru-RU"/>
        </a:p>
      </c:txPr>
    </c:legend>
    <c:plotVisOnly val="1"/>
    <c:dispBlanksAs val="gap"/>
    <c:showDLblsOverMax val="0"/>
  </c:chart>
  <c:spPr>
    <a:solidFill>
      <a:srgbClr val="FFFFFF"/>
    </a:solidFill>
    <a:ln w="3175">
      <a:noFill/>
      <a:prstDash val="solid"/>
    </a:ln>
  </c:spPr>
  <c:txPr>
    <a:bodyPr/>
    <a:lstStyle/>
    <a:p>
      <a:pPr>
        <a:defRPr sz="18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300"/>
              <a:t>Удельный вес расходов на з/п с начислениями в общих расходах консолидированных бюджетов субъектов СКФО за 2012 год</a:t>
            </a:r>
            <a:r>
              <a:rPr lang="ru-RU"/>
              <a:t>
</a:t>
            </a:r>
          </a:p>
        </c:rich>
      </c:tx>
      <c:layout>
        <c:manualLayout>
          <c:xMode val="edge"/>
          <c:yMode val="edge"/>
          <c:x val="0.12562994960403168"/>
          <c:y val="1.658374792703151E-3"/>
        </c:manualLayout>
      </c:layout>
      <c:overlay val="0"/>
      <c:spPr>
        <a:noFill/>
        <a:ln w="25400">
          <a:noFill/>
        </a:ln>
      </c:spPr>
    </c:title>
    <c:autoTitleDeleted val="0"/>
    <c:view3D>
      <c:rotX val="15"/>
      <c:hPercent val="56"/>
      <c:rotY val="20"/>
      <c:depthPercent val="100"/>
      <c:rAngAx val="1"/>
    </c:view3D>
    <c:floor>
      <c:thickness val="0"/>
      <c:spPr>
        <a:solidFill>
          <a:srgbClr val="C0C0C0"/>
        </a:solidFill>
        <a:ln w="3175">
          <a:solidFill>
            <a:srgbClr val="000000"/>
          </a:solidFill>
          <a:prstDash val="solid"/>
        </a:ln>
      </c:spPr>
    </c:floor>
    <c:sideWall>
      <c:thickness val="0"/>
      <c:spPr>
        <a:solidFill>
          <a:srgbClr val="99CCFF"/>
        </a:solidFill>
        <a:ln w="12700">
          <a:solidFill>
            <a:srgbClr val="808080"/>
          </a:solidFill>
          <a:prstDash val="solid"/>
        </a:ln>
      </c:spPr>
    </c:sideWall>
    <c:backWall>
      <c:thickness val="0"/>
      <c:spPr>
        <a:solidFill>
          <a:srgbClr val="99CCFF"/>
        </a:solidFill>
        <a:ln w="12700">
          <a:solidFill>
            <a:srgbClr val="808080"/>
          </a:solidFill>
          <a:prstDash val="solid"/>
        </a:ln>
      </c:spPr>
    </c:backWall>
    <c:plotArea>
      <c:layout>
        <c:manualLayout>
          <c:layoutTarget val="inner"/>
          <c:xMode val="edge"/>
          <c:yMode val="edge"/>
          <c:x val="0.105471562275018"/>
          <c:y val="0.11719199279194578"/>
          <c:w val="0.89344852411807052"/>
          <c:h val="0.62328984996278447"/>
        </c:manualLayout>
      </c:layout>
      <c:bar3DChart>
        <c:barDir val="col"/>
        <c:grouping val="clustered"/>
        <c:varyColors val="0"/>
        <c:ser>
          <c:idx val="0"/>
          <c:order val="0"/>
          <c:tx>
            <c:strRef>
              <c:f>Лист1!$D$3</c:f>
              <c:strCache>
                <c:ptCount val="1"/>
                <c:pt idx="0">
                  <c:v>Удельный вес в расходах, %</c:v>
                </c:pt>
              </c:strCache>
            </c:strRef>
          </c:tx>
          <c:spPr>
            <a:solidFill>
              <a:srgbClr val="FF99CC"/>
            </a:solidFill>
            <a:ln w="12700">
              <a:solidFill>
                <a:srgbClr val="000000"/>
              </a:solidFill>
              <a:prstDash val="solid"/>
            </a:ln>
          </c:spPr>
          <c:invertIfNegative val="0"/>
          <c:dPt>
            <c:idx val="5"/>
            <c:invertIfNegative val="0"/>
            <c:bubble3D val="0"/>
            <c:spPr>
              <a:solidFill>
                <a:schemeClr val="accent3">
                  <a:lumMod val="40000"/>
                  <a:lumOff val="60000"/>
                </a:schemeClr>
              </a:solidFill>
              <a:ln w="12700">
                <a:solidFill>
                  <a:srgbClr val="000000"/>
                </a:solidFill>
                <a:prstDash val="solid"/>
              </a:ln>
            </c:spPr>
          </c:dPt>
          <c:dLbls>
            <c:dLbl>
              <c:idx val="0"/>
              <c:layout>
                <c:manualLayout>
                  <c:x val="-5.4262115723655491E-4"/>
                  <c:y val="0.24595221617198348"/>
                </c:manualLayout>
              </c:layout>
              <c:showLegendKey val="0"/>
              <c:showVal val="1"/>
              <c:showCatName val="0"/>
              <c:showSerName val="0"/>
              <c:showPercent val="0"/>
              <c:showBubbleSize val="0"/>
            </c:dLbl>
            <c:dLbl>
              <c:idx val="1"/>
              <c:layout>
                <c:manualLayout>
                  <c:x val="4.6643197678044023E-4"/>
                  <c:y val="0.1764540377726416"/>
                </c:manualLayout>
              </c:layout>
              <c:showLegendKey val="0"/>
              <c:showVal val="1"/>
              <c:showCatName val="0"/>
              <c:showSerName val="0"/>
              <c:showPercent val="0"/>
              <c:showBubbleSize val="0"/>
            </c:dLbl>
            <c:dLbl>
              <c:idx val="2"/>
              <c:layout>
                <c:manualLayout>
                  <c:x val="7.5554270618980401E-4"/>
                  <c:y val="0.31469598638478646"/>
                </c:manualLayout>
              </c:layout>
              <c:showLegendKey val="0"/>
              <c:showVal val="1"/>
              <c:showCatName val="0"/>
              <c:showSerName val="0"/>
              <c:showPercent val="0"/>
              <c:showBubbleSize val="0"/>
            </c:dLbl>
            <c:dLbl>
              <c:idx val="3"/>
              <c:layout>
                <c:manualLayout>
                  <c:x val="3.2471103099153642E-4"/>
                  <c:y val="0.20558519737271647"/>
                </c:manualLayout>
              </c:layout>
              <c:showLegendKey val="0"/>
              <c:showVal val="1"/>
              <c:showCatName val="0"/>
              <c:showSerName val="0"/>
              <c:showPercent val="0"/>
              <c:showBubbleSize val="0"/>
            </c:dLbl>
            <c:dLbl>
              <c:idx val="4"/>
              <c:layout>
                <c:manualLayout>
                  <c:x val="2.5385055809708451E-4"/>
                  <c:y val="0.10100120569505926"/>
                </c:manualLayout>
              </c:layout>
              <c:showLegendKey val="0"/>
              <c:showVal val="1"/>
              <c:showCatName val="0"/>
              <c:showSerName val="0"/>
              <c:showPercent val="0"/>
              <c:showBubbleSize val="0"/>
            </c:dLbl>
            <c:dLbl>
              <c:idx val="5"/>
              <c:layout>
                <c:manualLayout>
                  <c:x val="5.4296128750644834E-4"/>
                  <c:y val="0.10056436975228843"/>
                </c:manualLayout>
              </c:layout>
              <c:showLegendKey val="0"/>
              <c:showVal val="1"/>
              <c:showCatName val="0"/>
              <c:showSerName val="0"/>
              <c:showPercent val="0"/>
              <c:showBubbleSize val="0"/>
            </c:dLbl>
            <c:dLbl>
              <c:idx val="6"/>
              <c:layout>
                <c:manualLayout>
                  <c:x val="-6.0781279229945066E-4"/>
                  <c:y val="0.18363057851599396"/>
                </c:manualLayout>
              </c:layout>
              <c:showLegendKey val="0"/>
              <c:showVal val="1"/>
              <c:showCatName val="0"/>
              <c:showSerName val="0"/>
              <c:showPercent val="0"/>
              <c:showBubbleSize val="0"/>
            </c:dLbl>
            <c:dLbl>
              <c:idx val="13"/>
              <c:layout>
                <c:manualLayout>
                  <c:xMode val="edge"/>
                  <c:yMode val="edge"/>
                  <c:x val="0.5431965442764578"/>
                  <c:y val="0.68490989860252571"/>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Лист1!$B$4:$B$10</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Лист1!$D$4:$D$10</c:f>
              <c:numCache>
                <c:formatCode>0.0%</c:formatCode>
                <c:ptCount val="7"/>
                <c:pt idx="0">
                  <c:v>0.25460917152995849</c:v>
                </c:pt>
                <c:pt idx="1">
                  <c:v>0.16711900325456361</c:v>
                </c:pt>
                <c:pt idx="2">
                  <c:v>0.2923702172296368</c:v>
                </c:pt>
                <c:pt idx="3">
                  <c:v>0.17832209199930629</c:v>
                </c:pt>
                <c:pt idx="4">
                  <c:v>0.1181234846748265</c:v>
                </c:pt>
                <c:pt idx="5">
                  <c:v>6.2699638351534526E-2</c:v>
                </c:pt>
                <c:pt idx="6">
                  <c:v>0.16552663339064544</c:v>
                </c:pt>
              </c:numCache>
            </c:numRef>
          </c:val>
        </c:ser>
        <c:dLbls>
          <c:showLegendKey val="0"/>
          <c:showVal val="0"/>
          <c:showCatName val="0"/>
          <c:showSerName val="0"/>
          <c:showPercent val="0"/>
          <c:showBubbleSize val="0"/>
        </c:dLbls>
        <c:gapWidth val="150"/>
        <c:shape val="box"/>
        <c:axId val="250423168"/>
        <c:axId val="250424704"/>
        <c:axId val="0"/>
      </c:bar3DChart>
      <c:catAx>
        <c:axId val="250423168"/>
        <c:scaling>
          <c:orientation val="minMax"/>
        </c:scaling>
        <c:delete val="0"/>
        <c:axPos val="b"/>
        <c:numFmt formatCode="General" sourceLinked="1"/>
        <c:majorTickMark val="out"/>
        <c:minorTickMark val="none"/>
        <c:tickLblPos val="low"/>
        <c:spPr>
          <a:ln w="3175">
            <a:solidFill>
              <a:srgbClr val="000000"/>
            </a:solidFill>
            <a:prstDash val="solid"/>
          </a:ln>
        </c:spPr>
        <c:txPr>
          <a:bodyPr rot="-132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0424704"/>
        <c:crosses val="autoZero"/>
        <c:auto val="1"/>
        <c:lblAlgn val="ctr"/>
        <c:lblOffset val="100"/>
        <c:tickLblSkip val="1"/>
        <c:tickMarkSkip val="1"/>
        <c:noMultiLvlLbl val="0"/>
      </c:catAx>
      <c:valAx>
        <c:axId val="250424704"/>
        <c:scaling>
          <c:orientation val="minMax"/>
        </c:scaling>
        <c:delete val="0"/>
        <c:axPos val="l"/>
        <c:majorGridlines>
          <c:spPr>
            <a:ln w="3175">
              <a:solidFill>
                <a:srgbClr val="000000"/>
              </a:solidFill>
              <a:prstDash val="solid"/>
            </a:ln>
          </c:spPr>
        </c:majorGridlines>
        <c:title>
          <c:tx>
            <c:rich>
              <a:bodyPr/>
              <a:lstStyle/>
              <a:p>
                <a:pPr>
                  <a:defRPr sz="1200" b="1" i="0" u="none" strike="noStrike" baseline="0">
                    <a:solidFill>
                      <a:srgbClr val="000000"/>
                    </a:solidFill>
                    <a:latin typeface="Times New Roman" pitchFamily="18" charset="0"/>
                    <a:ea typeface="Arial Cyr"/>
                    <a:cs typeface="Times New Roman" pitchFamily="18" charset="0"/>
                  </a:defRPr>
                </a:pPr>
                <a:r>
                  <a:rPr lang="ru-RU">
                    <a:latin typeface="Times New Roman" pitchFamily="18" charset="0"/>
                    <a:cs typeface="Times New Roman" pitchFamily="18" charset="0"/>
                  </a:rPr>
                  <a:t>%</a:t>
                </a:r>
              </a:p>
            </c:rich>
          </c:tx>
          <c:layout>
            <c:manualLayout>
              <c:xMode val="edge"/>
              <c:yMode val="edge"/>
              <c:x val="8.0993520518358536E-2"/>
              <c:y val="0.42675580975263661"/>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0423168"/>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4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Фактические расходы консолидированных бюджетов субъектов СКФО з/п с начислениями за 2012 год</a:t>
            </a:r>
          </a:p>
        </c:rich>
      </c:tx>
      <c:layout>
        <c:manualLayout>
          <c:xMode val="edge"/>
          <c:yMode val="edge"/>
          <c:x val="0.12639806836661763"/>
          <c:y val="1.9534712538812832E-3"/>
        </c:manualLayout>
      </c:layout>
      <c:overlay val="0"/>
      <c:spPr>
        <a:noFill/>
        <a:ln w="25400">
          <a:noFill/>
        </a:ln>
      </c:spPr>
    </c:title>
    <c:autoTitleDeleted val="0"/>
    <c:view3D>
      <c:rotX val="15"/>
      <c:hPercent val="57"/>
      <c:rotY val="20"/>
      <c:depthPercent val="100"/>
      <c:rAngAx val="1"/>
    </c:view3D>
    <c:floor>
      <c:thickness val="0"/>
      <c:spPr>
        <a:solidFill>
          <a:srgbClr val="C0C0C0"/>
        </a:solidFill>
        <a:ln w="3175">
          <a:solidFill>
            <a:srgbClr val="000000"/>
          </a:solidFill>
          <a:prstDash val="solid"/>
        </a:ln>
      </c:spPr>
    </c:floor>
    <c:sideWall>
      <c:thickness val="0"/>
      <c:spPr>
        <a:solidFill>
          <a:srgbClr val="FFCC99"/>
        </a:solidFill>
        <a:ln w="12700">
          <a:solidFill>
            <a:srgbClr val="808080"/>
          </a:solidFill>
          <a:prstDash val="solid"/>
        </a:ln>
      </c:spPr>
    </c:sideWall>
    <c:backWall>
      <c:thickness val="0"/>
      <c:spPr>
        <a:solidFill>
          <a:srgbClr val="FFCC99"/>
        </a:solidFill>
        <a:ln w="12700">
          <a:solidFill>
            <a:srgbClr val="808080"/>
          </a:solidFill>
          <a:prstDash val="solid"/>
        </a:ln>
      </c:spPr>
    </c:backWall>
    <c:plotArea>
      <c:layout>
        <c:manualLayout>
          <c:layoutTarget val="inner"/>
          <c:xMode val="edge"/>
          <c:yMode val="edge"/>
          <c:x val="0.10966833691243139"/>
          <c:y val="0.12090976980622846"/>
          <c:w val="0.88311767847200906"/>
          <c:h val="0.61508649189234044"/>
        </c:manualLayout>
      </c:layout>
      <c:bar3DChart>
        <c:barDir val="col"/>
        <c:grouping val="clustered"/>
        <c:varyColors val="0"/>
        <c:ser>
          <c:idx val="0"/>
          <c:order val="0"/>
          <c:spPr>
            <a:solidFill>
              <a:srgbClr val="9999FF"/>
            </a:solidFill>
            <a:ln w="12700">
              <a:solidFill>
                <a:srgbClr val="000000"/>
              </a:solidFill>
              <a:prstDash val="solid"/>
            </a:ln>
          </c:spPr>
          <c:invertIfNegative val="0"/>
          <c:dPt>
            <c:idx val="5"/>
            <c:invertIfNegative val="0"/>
            <c:bubble3D val="0"/>
            <c:spPr>
              <a:solidFill>
                <a:schemeClr val="accent2">
                  <a:lumMod val="40000"/>
                  <a:lumOff val="60000"/>
                </a:schemeClr>
              </a:solidFill>
              <a:ln w="12700">
                <a:solidFill>
                  <a:srgbClr val="000000"/>
                </a:solidFill>
                <a:prstDash val="solid"/>
              </a:ln>
            </c:spPr>
          </c:dPt>
          <c:dLbls>
            <c:dLbl>
              <c:idx val="0"/>
              <c:layout>
                <c:manualLayout>
                  <c:x val="1.3172217109224983E-3"/>
                  <c:y val="0.31794428358684784"/>
                </c:manualLayout>
              </c:layout>
              <c:showLegendKey val="0"/>
              <c:showVal val="1"/>
              <c:showCatName val="0"/>
              <c:showSerName val="0"/>
              <c:showPercent val="0"/>
              <c:showBubbleSize val="0"/>
            </c:dLbl>
            <c:dLbl>
              <c:idx val="1"/>
              <c:layout>
                <c:manualLayout>
                  <c:x val="6.8047175921191671E-3"/>
                  <c:y val="-2.5780479603111174E-2"/>
                </c:manualLayout>
              </c:layout>
              <c:showLegendKey val="0"/>
              <c:showVal val="1"/>
              <c:showCatName val="0"/>
              <c:showSerName val="0"/>
              <c:showPercent val="0"/>
              <c:showBubbleSize val="0"/>
            </c:dLbl>
            <c:dLbl>
              <c:idx val="2"/>
              <c:layout>
                <c:manualLayout>
                  <c:x val="6.5202077013100639E-3"/>
                  <c:y val="-1.3843069949035072E-2"/>
                </c:manualLayout>
              </c:layout>
              <c:showLegendKey val="0"/>
              <c:showVal val="1"/>
              <c:showCatName val="0"/>
              <c:showSerName val="0"/>
              <c:showPercent val="0"/>
              <c:showBubbleSize val="0"/>
            </c:dLbl>
            <c:dLbl>
              <c:idx val="3"/>
              <c:layout>
                <c:manualLayout>
                  <c:x val="7.3179488927520428E-3"/>
                  <c:y val="-2.3414344421589565E-2"/>
                </c:manualLayout>
              </c:layout>
              <c:showLegendKey val="0"/>
              <c:showVal val="1"/>
              <c:showCatName val="0"/>
              <c:showSerName val="0"/>
              <c:showPercent val="0"/>
              <c:showBubbleSize val="0"/>
            </c:dLbl>
            <c:dLbl>
              <c:idx val="4"/>
              <c:layout>
                <c:manualLayout>
                  <c:x val="8.1156900841940216E-3"/>
                  <c:y val="-2.8843266471890682E-2"/>
                </c:manualLayout>
              </c:layout>
              <c:showLegendKey val="0"/>
              <c:showVal val="1"/>
              <c:showCatName val="0"/>
              <c:showSerName val="0"/>
              <c:showPercent val="0"/>
              <c:showBubbleSize val="0"/>
            </c:dLbl>
            <c:dLbl>
              <c:idx val="5"/>
              <c:layout>
                <c:manualLayout>
                  <c:x val="3.8628126029700833E-3"/>
                  <c:y val="-2.0842602661356183E-2"/>
                </c:manualLayout>
              </c:layout>
              <c:showLegendKey val="0"/>
              <c:showVal val="1"/>
              <c:showCatName val="0"/>
              <c:showSerName val="0"/>
              <c:showPercent val="0"/>
              <c:showBubbleSize val="0"/>
            </c:dLbl>
            <c:dLbl>
              <c:idx val="6"/>
              <c:layout>
                <c:manualLayout>
                  <c:x val="1.9086858328755418E-3"/>
                  <c:y val="0.27060188683844866"/>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Лист1!$B$4:$B$10</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Лист1!$C$4:$C$10</c:f>
              <c:numCache>
                <c:formatCode>#,##0.0</c:formatCode>
                <c:ptCount val="7"/>
                <c:pt idx="0">
                  <c:v>20650264.45823</c:v>
                </c:pt>
                <c:pt idx="1">
                  <c:v>3452937.3328300002</c:v>
                </c:pt>
                <c:pt idx="2">
                  <c:v>7298611.5855600098</c:v>
                </c:pt>
                <c:pt idx="3">
                  <c:v>3674740.63093</c:v>
                </c:pt>
                <c:pt idx="4">
                  <c:v>2587549.9672699999</c:v>
                </c:pt>
                <c:pt idx="5">
                  <c:v>4861220.9320499999</c:v>
                </c:pt>
                <c:pt idx="6">
                  <c:v>15158921.945049999</c:v>
                </c:pt>
              </c:numCache>
            </c:numRef>
          </c:val>
        </c:ser>
        <c:dLbls>
          <c:showLegendKey val="0"/>
          <c:showVal val="0"/>
          <c:showCatName val="0"/>
          <c:showSerName val="0"/>
          <c:showPercent val="0"/>
          <c:showBubbleSize val="0"/>
        </c:dLbls>
        <c:gapWidth val="150"/>
        <c:shape val="box"/>
        <c:axId val="251597568"/>
        <c:axId val="251599104"/>
        <c:axId val="0"/>
      </c:bar3DChart>
      <c:catAx>
        <c:axId val="251597568"/>
        <c:scaling>
          <c:orientation val="minMax"/>
        </c:scaling>
        <c:delete val="0"/>
        <c:axPos val="b"/>
        <c:numFmt formatCode="General" sourceLinked="1"/>
        <c:majorTickMark val="out"/>
        <c:minorTickMark val="none"/>
        <c:tickLblPos val="low"/>
        <c:spPr>
          <a:ln w="3175">
            <a:solidFill>
              <a:srgbClr val="000000"/>
            </a:solidFill>
            <a:prstDash val="solid"/>
          </a:ln>
        </c:spPr>
        <c:txPr>
          <a:bodyPr rot="-144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1599104"/>
        <c:crosses val="autoZero"/>
        <c:auto val="1"/>
        <c:lblAlgn val="ctr"/>
        <c:lblOffset val="100"/>
        <c:tickLblSkip val="1"/>
        <c:tickMarkSkip val="1"/>
        <c:noMultiLvlLbl val="0"/>
      </c:catAx>
      <c:valAx>
        <c:axId val="251599104"/>
        <c:scaling>
          <c:orientation val="minMax"/>
        </c:scaling>
        <c:delete val="0"/>
        <c:axPos val="l"/>
        <c:majorGridlines>
          <c:spPr>
            <a:ln w="3175">
              <a:solidFill>
                <a:srgbClr val="000000"/>
              </a:solidFill>
              <a:prstDash val="solid"/>
            </a:ln>
          </c:spPr>
        </c:majorGridlines>
        <c:title>
          <c:tx>
            <c:rich>
              <a:bodyPr/>
              <a:lstStyle/>
              <a:p>
                <a:pP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Тыс. руб.</a:t>
                </a:r>
              </a:p>
            </c:rich>
          </c:tx>
          <c:layout>
            <c:manualLayout>
              <c:xMode val="edge"/>
              <c:yMode val="edge"/>
              <c:x val="3.8961152583199828E-2"/>
              <c:y val="0.36938470877496382"/>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1597568"/>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4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Удельный вес расходов консолидированных бюджетов субъектов СКФО на оплату коммунальных услуг за 2012 год</a:t>
            </a:r>
          </a:p>
        </c:rich>
      </c:tx>
      <c:layout>
        <c:manualLayout>
          <c:xMode val="edge"/>
          <c:yMode val="edge"/>
          <c:x val="0.13837850520675299"/>
          <c:y val="1.9231240954693733E-3"/>
        </c:manualLayout>
      </c:layout>
      <c:overlay val="0"/>
      <c:spPr>
        <a:noFill/>
        <a:ln w="25400">
          <a:noFill/>
        </a:ln>
      </c:spPr>
    </c:title>
    <c:autoTitleDeleted val="0"/>
    <c:view3D>
      <c:rotX val="15"/>
      <c:hPercent val="54"/>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7928041427254022E-2"/>
          <c:y val="0.12327287447278046"/>
          <c:w val="0.90702748102433139"/>
          <c:h val="0.58927671354513522"/>
        </c:manualLayout>
      </c:layout>
      <c:bar3DChart>
        <c:barDir val="col"/>
        <c:grouping val="clustered"/>
        <c:varyColors val="0"/>
        <c:ser>
          <c:idx val="0"/>
          <c:order val="0"/>
          <c:spPr>
            <a:solidFill>
              <a:srgbClr val="9999FF"/>
            </a:solidFill>
            <a:ln w="12700">
              <a:solidFill>
                <a:srgbClr val="000000"/>
              </a:solidFill>
              <a:prstDash val="solid"/>
            </a:ln>
          </c:spPr>
          <c:invertIfNegative val="0"/>
          <c:dPt>
            <c:idx val="5"/>
            <c:invertIfNegative val="0"/>
            <c:bubble3D val="0"/>
            <c:spPr>
              <a:solidFill>
                <a:schemeClr val="accent2">
                  <a:lumMod val="40000"/>
                  <a:lumOff val="60000"/>
                </a:schemeClr>
              </a:solidFill>
              <a:ln w="12700">
                <a:solidFill>
                  <a:srgbClr val="000000"/>
                </a:solidFill>
                <a:prstDash val="solid"/>
              </a:ln>
            </c:spPr>
          </c:dPt>
          <c:dLbls>
            <c:dLbl>
              <c:idx val="0"/>
              <c:layout>
                <c:manualLayout>
                  <c:x val="5.5001773426970274E-4"/>
                  <c:y val="0.10686810914804803"/>
                </c:manualLayout>
              </c:layout>
              <c:showLegendKey val="0"/>
              <c:showVal val="1"/>
              <c:showCatName val="0"/>
              <c:showSerName val="0"/>
              <c:showPercent val="0"/>
              <c:showBubbleSize val="0"/>
            </c:dLbl>
            <c:dLbl>
              <c:idx val="1"/>
              <c:layout>
                <c:manualLayout>
                  <c:x val="7.9835425977158264E-4"/>
                  <c:y val="0.10100991107454851"/>
                </c:manualLayout>
              </c:layout>
              <c:showLegendKey val="0"/>
              <c:showVal val="1"/>
              <c:showCatName val="0"/>
              <c:showSerName val="0"/>
              <c:showPercent val="0"/>
              <c:showBubbleSize val="0"/>
            </c:dLbl>
            <c:dLbl>
              <c:idx val="2"/>
              <c:layout>
                <c:manualLayout>
                  <c:x val="2.1277718663545433E-3"/>
                  <c:y val="0.23666357625694798"/>
                </c:manualLayout>
              </c:layout>
              <c:showLegendKey val="0"/>
              <c:showVal val="1"/>
              <c:showCatName val="0"/>
              <c:showSerName val="0"/>
              <c:showPercent val="0"/>
              <c:showBubbleSize val="0"/>
            </c:dLbl>
            <c:dLbl>
              <c:idx val="3"/>
              <c:layout>
                <c:manualLayout>
                  <c:x val="9.3478044974107963E-4"/>
                  <c:y val="0.13775148753172023"/>
                </c:manualLayout>
              </c:layout>
              <c:showLegendKey val="0"/>
              <c:showVal val="1"/>
              <c:showCatName val="0"/>
              <c:showSerName val="0"/>
              <c:showPercent val="0"/>
              <c:showBubbleSize val="0"/>
            </c:dLbl>
            <c:dLbl>
              <c:idx val="4"/>
              <c:layout>
                <c:manualLayout>
                  <c:x val="1.1830034759168617E-3"/>
                  <c:y val="0.1016624663210631"/>
                </c:manualLayout>
              </c:layout>
              <c:showLegendKey val="0"/>
              <c:showVal val="1"/>
              <c:showCatName val="0"/>
              <c:showSerName val="0"/>
              <c:showPercent val="0"/>
              <c:showBubbleSize val="0"/>
            </c:dLbl>
            <c:dLbl>
              <c:idx val="5"/>
              <c:layout>
                <c:manualLayout>
                  <c:x val="8.2783003475916869E-3"/>
                  <c:y val="-9.0812777756014325E-3"/>
                </c:manualLayout>
              </c:layout>
              <c:showLegendKey val="0"/>
              <c:showVal val="1"/>
              <c:showCatName val="0"/>
              <c:showSerName val="0"/>
              <c:showPercent val="0"/>
              <c:showBubbleSize val="0"/>
            </c:dLbl>
            <c:dLbl>
              <c:idx val="6"/>
              <c:layout>
                <c:manualLayout>
                  <c:x val="2.7608711073278001E-3"/>
                  <c:y val="0.12438106928176275"/>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Лист1!$B$4:$B$10</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Лист1!$F$4:$F$10</c:f>
              <c:numCache>
                <c:formatCode>0.0%</c:formatCode>
                <c:ptCount val="7"/>
                <c:pt idx="0">
                  <c:v>1.2689599682276564E-2</c:v>
                </c:pt>
                <c:pt idx="1">
                  <c:v>9.857123273793086E-3</c:v>
                </c:pt>
                <c:pt idx="2">
                  <c:v>1.7863890641293879E-2</c:v>
                </c:pt>
                <c:pt idx="3">
                  <c:v>1.4065173455490271E-2</c:v>
                </c:pt>
                <c:pt idx="4">
                  <c:v>9.1614311551952397E-3</c:v>
                </c:pt>
                <c:pt idx="5">
                  <c:v>2.6024229886208072E-3</c:v>
                </c:pt>
                <c:pt idx="6">
                  <c:v>1.3679869725304765E-2</c:v>
                </c:pt>
              </c:numCache>
            </c:numRef>
          </c:val>
        </c:ser>
        <c:dLbls>
          <c:showLegendKey val="0"/>
          <c:showVal val="0"/>
          <c:showCatName val="0"/>
          <c:showSerName val="0"/>
          <c:showPercent val="0"/>
          <c:showBubbleSize val="0"/>
        </c:dLbls>
        <c:gapWidth val="150"/>
        <c:shape val="box"/>
        <c:axId val="251657600"/>
        <c:axId val="252974208"/>
        <c:axId val="0"/>
      </c:bar3DChart>
      <c:catAx>
        <c:axId val="251657600"/>
        <c:scaling>
          <c:orientation val="minMax"/>
        </c:scaling>
        <c:delete val="0"/>
        <c:axPos val="b"/>
        <c:numFmt formatCode="General" sourceLinked="1"/>
        <c:majorTickMark val="out"/>
        <c:minorTickMark val="none"/>
        <c:tickLblPos val="low"/>
        <c:spPr>
          <a:ln w="3175">
            <a:solidFill>
              <a:srgbClr val="000000"/>
            </a:solidFill>
            <a:prstDash val="solid"/>
          </a:ln>
        </c:spPr>
        <c:txPr>
          <a:bodyPr rot="-150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2974208"/>
        <c:crosses val="autoZero"/>
        <c:auto val="1"/>
        <c:lblAlgn val="ctr"/>
        <c:lblOffset val="100"/>
        <c:tickLblSkip val="1"/>
        <c:tickMarkSkip val="1"/>
        <c:noMultiLvlLbl val="0"/>
      </c:catAx>
      <c:valAx>
        <c:axId val="252974208"/>
        <c:scaling>
          <c:orientation val="minMax"/>
        </c:scaling>
        <c:delete val="0"/>
        <c:axPos val="l"/>
        <c:majorGridlines>
          <c:spPr>
            <a:ln w="3175">
              <a:solidFill>
                <a:srgbClr val="000000"/>
              </a:solidFill>
              <a:prstDash val="solid"/>
            </a:ln>
          </c:spPr>
        </c:majorGridlines>
        <c:title>
          <c:tx>
            <c:rich>
              <a:bodyPr rot="0" vert="horz"/>
              <a:lstStyle/>
              <a:p>
                <a:pPr algn="ctr">
                  <a:defRPr sz="1475" b="1" i="0" u="none" strike="noStrike" baseline="0">
                    <a:solidFill>
                      <a:srgbClr val="000000"/>
                    </a:solidFill>
                    <a:latin typeface="Times New Roman" pitchFamily="18" charset="0"/>
                    <a:ea typeface="Arial Cyr"/>
                    <a:cs typeface="Times New Roman" pitchFamily="18" charset="0"/>
                  </a:defRPr>
                </a:pPr>
                <a:r>
                  <a:rPr lang="ru-RU">
                    <a:latin typeface="Times New Roman" pitchFamily="18" charset="0"/>
                    <a:cs typeface="Times New Roman" pitchFamily="18" charset="0"/>
                  </a:rPr>
                  <a:t>%</a:t>
                </a:r>
              </a:p>
            </c:rich>
          </c:tx>
          <c:layout>
            <c:manualLayout>
              <c:xMode val="edge"/>
              <c:yMode val="edge"/>
              <c:x val="9.2612726111938701E-2"/>
              <c:y val="0.42122789377695946"/>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1657600"/>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4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Фактические расходы консолидированных бюджетов субъектов СКФО на оплату коммунальных услуг за 2012 год</a:t>
            </a:r>
          </a:p>
        </c:rich>
      </c:tx>
      <c:layout>
        <c:manualLayout>
          <c:xMode val="edge"/>
          <c:yMode val="edge"/>
          <c:x val="0.16217589083569706"/>
          <c:y val="1.9613386988702164E-3"/>
        </c:manualLayout>
      </c:layout>
      <c:overlay val="0"/>
      <c:spPr>
        <a:noFill/>
        <a:ln w="25400">
          <a:noFill/>
        </a:ln>
      </c:spPr>
    </c:title>
    <c:autoTitleDeleted val="0"/>
    <c:view3D>
      <c:rotX val="15"/>
      <c:hPercent val="55"/>
      <c:rotY val="20"/>
      <c:depthPercent val="100"/>
      <c:rAngAx val="1"/>
    </c:view3D>
    <c:floor>
      <c:thickness val="0"/>
      <c:spPr>
        <a:solidFill>
          <a:srgbClr val="C0C0C0"/>
        </a:solidFill>
        <a:ln w="3175">
          <a:solidFill>
            <a:srgbClr val="000000"/>
          </a:solidFill>
          <a:prstDash val="solid"/>
        </a:ln>
      </c:spPr>
    </c:floor>
    <c:sideWall>
      <c:thickness val="0"/>
      <c:spPr>
        <a:solidFill>
          <a:srgbClr val="CCCCFF"/>
        </a:solidFill>
        <a:ln w="12700">
          <a:solidFill>
            <a:srgbClr val="808080"/>
          </a:solidFill>
          <a:prstDash val="solid"/>
        </a:ln>
      </c:spPr>
    </c:sideWall>
    <c:backWall>
      <c:thickness val="0"/>
      <c:spPr>
        <a:solidFill>
          <a:srgbClr val="CCCCFF"/>
        </a:solidFill>
        <a:ln w="12700">
          <a:solidFill>
            <a:srgbClr val="808080"/>
          </a:solidFill>
          <a:prstDash val="solid"/>
        </a:ln>
      </c:spPr>
    </c:backWall>
    <c:plotArea>
      <c:layout>
        <c:manualLayout>
          <c:layoutTarget val="inner"/>
          <c:xMode val="edge"/>
          <c:yMode val="edge"/>
          <c:x val="0.1280666053106998"/>
          <c:y val="0.11553361799924264"/>
          <c:w val="0.8712129165672472"/>
          <c:h val="0.58706554715486436"/>
        </c:manualLayout>
      </c:layout>
      <c:bar3DChart>
        <c:barDir val="col"/>
        <c:grouping val="clustered"/>
        <c:varyColors val="0"/>
        <c:ser>
          <c:idx val="0"/>
          <c:order val="0"/>
          <c:spPr>
            <a:solidFill>
              <a:srgbClr val="9999FF"/>
            </a:solidFill>
            <a:ln w="12700">
              <a:solidFill>
                <a:srgbClr val="000000"/>
              </a:solidFill>
              <a:prstDash val="solid"/>
            </a:ln>
          </c:spPr>
          <c:invertIfNegative val="0"/>
          <c:dPt>
            <c:idx val="5"/>
            <c:invertIfNegative val="0"/>
            <c:bubble3D val="0"/>
            <c:spPr>
              <a:solidFill>
                <a:schemeClr val="accent2">
                  <a:lumMod val="40000"/>
                  <a:lumOff val="60000"/>
                </a:schemeClr>
              </a:solidFill>
              <a:ln w="12700">
                <a:solidFill>
                  <a:srgbClr val="000000"/>
                </a:solidFill>
                <a:prstDash val="solid"/>
              </a:ln>
            </c:spPr>
          </c:dPt>
          <c:dLbls>
            <c:dLbl>
              <c:idx val="0"/>
              <c:layout>
                <c:manualLayout>
                  <c:x val="-1.0119294038737702E-4"/>
                  <c:y val="0.24319514405438411"/>
                </c:manualLayout>
              </c:layout>
              <c:showLegendKey val="0"/>
              <c:showVal val="1"/>
              <c:showCatName val="0"/>
              <c:showSerName val="0"/>
              <c:showPercent val="0"/>
              <c:showBubbleSize val="0"/>
            </c:dLbl>
            <c:dLbl>
              <c:idx val="1"/>
              <c:layout>
                <c:manualLayout>
                  <c:x val="7.6627921509811276E-3"/>
                  <c:y val="-1.3755718346152005E-2"/>
                </c:manualLayout>
              </c:layout>
              <c:showLegendKey val="0"/>
              <c:showVal val="1"/>
              <c:showCatName val="0"/>
              <c:showSerName val="0"/>
              <c:showPercent val="0"/>
              <c:showBubbleSize val="0"/>
            </c:dLbl>
            <c:dLbl>
              <c:idx val="2"/>
              <c:layout>
                <c:manualLayout>
                  <c:x val="8.2117008101260068E-3"/>
                  <c:y val="-1.2320027160784007E-2"/>
                </c:manualLayout>
              </c:layout>
              <c:showLegendKey val="0"/>
              <c:showVal val="1"/>
              <c:showCatName val="0"/>
              <c:showSerName val="0"/>
              <c:showPercent val="0"/>
              <c:showBubbleSize val="0"/>
            </c:dLbl>
            <c:dLbl>
              <c:idx val="3"/>
              <c:layout>
                <c:manualLayout>
                  <c:x val="5.1532194839281455E-3"/>
                  <c:y val="-2.4094749350361055E-2"/>
                </c:manualLayout>
              </c:layout>
              <c:showLegendKey val="0"/>
              <c:showVal val="1"/>
              <c:showCatName val="0"/>
              <c:showSerName val="0"/>
              <c:showPercent val="0"/>
              <c:showBubbleSize val="0"/>
            </c:dLbl>
            <c:dLbl>
              <c:idx val="4"/>
              <c:layout>
                <c:manualLayout>
                  <c:x val="8.9489950119871382E-3"/>
                  <c:y val="-1.8182752031617937E-2"/>
                </c:manualLayout>
              </c:layout>
              <c:showLegendKey val="0"/>
              <c:showVal val="1"/>
              <c:showCatName val="0"/>
              <c:showSerName val="0"/>
              <c:showPercent val="0"/>
              <c:showBubbleSize val="0"/>
            </c:dLbl>
            <c:dLbl>
              <c:idx val="5"/>
              <c:layout>
                <c:manualLayout>
                  <c:x val="6.251264046539637E-3"/>
                  <c:y val="-1.8606355797565106E-2"/>
                </c:manualLayout>
              </c:layout>
              <c:showLegendKey val="0"/>
              <c:showVal val="1"/>
              <c:showCatName val="0"/>
              <c:showSerName val="0"/>
              <c:showPercent val="0"/>
              <c:showBubbleSize val="0"/>
            </c:dLbl>
            <c:dLbl>
              <c:idx val="6"/>
              <c:layout>
                <c:manualLayout>
                  <c:x val="7.355298701904946E-4"/>
                  <c:y val="0.27418536142043121"/>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Лист1!$B$4:$B$10</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Лист1!$E$4:$E$10</c:f>
              <c:numCache>
                <c:formatCode>#,##0.0</c:formatCode>
                <c:ptCount val="7"/>
                <c:pt idx="0">
                  <c:v>1029199.33219</c:v>
                </c:pt>
                <c:pt idx="1">
                  <c:v>203663.42715999999</c:v>
                </c:pt>
                <c:pt idx="2">
                  <c:v>445946.92453000002</c:v>
                </c:pt>
                <c:pt idx="3">
                  <c:v>289845.54745000001</c:v>
                </c:pt>
                <c:pt idx="4">
                  <c:v>200685.4179</c:v>
                </c:pt>
                <c:pt idx="5">
                  <c:v>201770.75081999999</c:v>
                </c:pt>
                <c:pt idx="6">
                  <c:v>1252801.8792900001</c:v>
                </c:pt>
              </c:numCache>
            </c:numRef>
          </c:val>
        </c:ser>
        <c:dLbls>
          <c:showLegendKey val="0"/>
          <c:showVal val="0"/>
          <c:showCatName val="0"/>
          <c:showSerName val="0"/>
          <c:showPercent val="0"/>
          <c:showBubbleSize val="0"/>
        </c:dLbls>
        <c:gapWidth val="150"/>
        <c:shape val="box"/>
        <c:axId val="252999936"/>
        <c:axId val="253026304"/>
        <c:axId val="0"/>
      </c:bar3DChart>
      <c:catAx>
        <c:axId val="252999936"/>
        <c:scaling>
          <c:orientation val="minMax"/>
        </c:scaling>
        <c:delete val="0"/>
        <c:axPos val="b"/>
        <c:numFmt formatCode="General" sourceLinked="1"/>
        <c:majorTickMark val="out"/>
        <c:minorTickMark val="none"/>
        <c:tickLblPos val="low"/>
        <c:spPr>
          <a:ln w="3175">
            <a:solidFill>
              <a:srgbClr val="000000"/>
            </a:solidFill>
            <a:prstDash val="solid"/>
          </a:ln>
        </c:spPr>
        <c:txPr>
          <a:bodyPr rot="-174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3026304"/>
        <c:crosses val="autoZero"/>
        <c:auto val="1"/>
        <c:lblAlgn val="ctr"/>
        <c:lblOffset val="100"/>
        <c:tickLblSkip val="1"/>
        <c:tickMarkSkip val="1"/>
        <c:noMultiLvlLbl val="0"/>
      </c:catAx>
      <c:valAx>
        <c:axId val="253026304"/>
        <c:scaling>
          <c:orientation val="minMax"/>
        </c:scaling>
        <c:delete val="0"/>
        <c:axPos val="l"/>
        <c:majorGridlines>
          <c:spPr>
            <a:ln w="3175">
              <a:solidFill>
                <a:srgbClr val="000000"/>
              </a:solidFill>
              <a:prstDash val="solid"/>
            </a:ln>
          </c:spPr>
        </c:majorGridlines>
        <c:title>
          <c:tx>
            <c:rich>
              <a:bodyPr/>
              <a:lstStyle/>
              <a:p>
                <a:pPr>
                  <a:defRPr sz="1100" b="1" i="0" u="none" strike="noStrike" baseline="0">
                    <a:solidFill>
                      <a:srgbClr val="000000"/>
                    </a:solidFill>
                    <a:latin typeface="Times New Roman" pitchFamily="18" charset="0"/>
                    <a:ea typeface="Arial Cyr"/>
                    <a:cs typeface="Times New Roman" pitchFamily="18" charset="0"/>
                  </a:defRPr>
                </a:pPr>
                <a:r>
                  <a:rPr lang="ru-RU" sz="1100">
                    <a:latin typeface="Times New Roman" pitchFamily="18" charset="0"/>
                    <a:cs typeface="Times New Roman" pitchFamily="18" charset="0"/>
                  </a:rPr>
                  <a:t>Тыс. руб.</a:t>
                </a:r>
              </a:p>
            </c:rich>
          </c:tx>
          <c:layout>
            <c:manualLayout>
              <c:xMode val="edge"/>
              <c:yMode val="edge"/>
              <c:x val="7.7561441183488428E-2"/>
              <c:y val="0.4356003012061303"/>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2999936"/>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4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Удельный вес расходов консолидированных бюджетов субъектов СКФО на увеличение стоимости основных средств  за 2012 год</a:t>
            </a:r>
          </a:p>
        </c:rich>
      </c:tx>
      <c:layout>
        <c:manualLayout>
          <c:xMode val="edge"/>
          <c:yMode val="edge"/>
          <c:x val="0.13419924782129505"/>
          <c:y val="9.9667774086378731E-3"/>
        </c:manualLayout>
      </c:layout>
      <c:overlay val="0"/>
      <c:spPr>
        <a:noFill/>
        <a:ln w="25400">
          <a:noFill/>
        </a:ln>
      </c:spPr>
    </c:title>
    <c:autoTitleDeleted val="0"/>
    <c:view3D>
      <c:rotX val="15"/>
      <c:hPercent val="56"/>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1796570883185055"/>
          <c:y val="0.10963455149501661"/>
          <c:w val="0.87698480871709217"/>
          <c:h val="0.6168142935621419"/>
        </c:manualLayout>
      </c:layout>
      <c:bar3DChart>
        <c:barDir val="col"/>
        <c:grouping val="clustered"/>
        <c:varyColors val="0"/>
        <c:ser>
          <c:idx val="0"/>
          <c:order val="0"/>
          <c:spPr>
            <a:solidFill>
              <a:srgbClr val="9999FF"/>
            </a:solidFill>
            <a:ln w="12700">
              <a:solidFill>
                <a:srgbClr val="000000"/>
              </a:solidFill>
              <a:prstDash val="solid"/>
            </a:ln>
          </c:spPr>
          <c:invertIfNegative val="0"/>
          <c:dPt>
            <c:idx val="5"/>
            <c:invertIfNegative val="0"/>
            <c:bubble3D val="0"/>
            <c:spPr>
              <a:solidFill>
                <a:schemeClr val="accent2">
                  <a:lumMod val="40000"/>
                  <a:lumOff val="60000"/>
                </a:schemeClr>
              </a:solidFill>
              <a:ln w="12700">
                <a:solidFill>
                  <a:srgbClr val="000000"/>
                </a:solidFill>
                <a:prstDash val="solid"/>
              </a:ln>
            </c:spPr>
          </c:dPt>
          <c:dLbls>
            <c:dLbl>
              <c:idx val="0"/>
              <c:layout>
                <c:manualLayout>
                  <c:x val="-3.0559424789547316E-3"/>
                  <c:y val="0.20840211815067161"/>
                </c:manualLayout>
              </c:layout>
              <c:showLegendKey val="0"/>
              <c:showVal val="1"/>
              <c:showCatName val="0"/>
              <c:showSerName val="0"/>
              <c:showPercent val="0"/>
              <c:showBubbleSize val="0"/>
            </c:dLbl>
            <c:dLbl>
              <c:idx val="1"/>
              <c:layout>
                <c:manualLayout>
                  <c:x val="-1.8275092950379091E-4"/>
                  <c:y val="0.18561237636160374"/>
                </c:manualLayout>
              </c:layout>
              <c:showLegendKey val="0"/>
              <c:showVal val="1"/>
              <c:showCatName val="0"/>
              <c:showSerName val="0"/>
              <c:showPercent val="0"/>
              <c:showBubbleSize val="0"/>
            </c:dLbl>
            <c:dLbl>
              <c:idx val="2"/>
              <c:layout>
                <c:manualLayout>
                  <c:x val="-5.9648929529963388E-4"/>
                  <c:y val="0.14890903880264073"/>
                </c:manualLayout>
              </c:layout>
              <c:showLegendKey val="0"/>
              <c:showVal val="1"/>
              <c:showCatName val="0"/>
              <c:showSerName val="0"/>
              <c:showPercent val="0"/>
              <c:showBubbleSize val="0"/>
            </c:dLbl>
            <c:dLbl>
              <c:idx val="3"/>
              <c:layout>
                <c:manualLayout>
                  <c:x val="-1.3679690726387012E-3"/>
                  <c:y val="0.1558916551989446"/>
                </c:manualLayout>
              </c:layout>
              <c:showLegendKey val="0"/>
              <c:showVal val="1"/>
              <c:showCatName val="0"/>
              <c:showSerName val="0"/>
              <c:showPercent val="0"/>
              <c:showBubbleSize val="0"/>
            </c:dLbl>
            <c:dLbl>
              <c:idx val="4"/>
              <c:layout>
                <c:manualLayout>
                  <c:x val="-7.2887339910337922E-5"/>
                  <c:y val="0.15611963265422044"/>
                </c:manualLayout>
              </c:layout>
              <c:showLegendKey val="0"/>
              <c:showVal val="1"/>
              <c:showCatName val="0"/>
              <c:showSerName val="0"/>
              <c:showPercent val="0"/>
              <c:showBubbleSize val="0"/>
            </c:dLbl>
            <c:dLbl>
              <c:idx val="5"/>
              <c:layout>
                <c:manualLayout>
                  <c:x val="1.5776533198129093E-3"/>
                  <c:y val="0.15370689276797678"/>
                </c:manualLayout>
              </c:layout>
              <c:showLegendKey val="0"/>
              <c:showVal val="1"/>
              <c:showCatName val="0"/>
              <c:showSerName val="0"/>
              <c:showPercent val="0"/>
              <c:showBubbleSize val="0"/>
            </c:dLbl>
            <c:dLbl>
              <c:idx val="6"/>
              <c:layout>
                <c:manualLayout>
                  <c:x val="8.2625940649923787E-5"/>
                  <c:y val="0.14447006214515684"/>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Лист1!$B$4:$B$10</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Лист1!$H$4:$H$10</c:f>
              <c:numCache>
                <c:formatCode>0.0%</c:formatCode>
                <c:ptCount val="7"/>
                <c:pt idx="0">
                  <c:v>0.2237914706613077</c:v>
                </c:pt>
                <c:pt idx="1">
                  <c:v>0.41542160067999445</c:v>
                </c:pt>
                <c:pt idx="2">
                  <c:v>0.15190152223514511</c:v>
                </c:pt>
                <c:pt idx="3">
                  <c:v>0.21571623849088914</c:v>
                </c:pt>
                <c:pt idx="4">
                  <c:v>0.13259945986087371</c:v>
                </c:pt>
                <c:pt idx="5">
                  <c:v>0.33644564737913008</c:v>
                </c:pt>
                <c:pt idx="6">
                  <c:v>0.10752806606639961</c:v>
                </c:pt>
              </c:numCache>
            </c:numRef>
          </c:val>
        </c:ser>
        <c:dLbls>
          <c:showLegendKey val="0"/>
          <c:showVal val="0"/>
          <c:showCatName val="0"/>
          <c:showSerName val="0"/>
          <c:showPercent val="0"/>
          <c:showBubbleSize val="0"/>
        </c:dLbls>
        <c:gapWidth val="150"/>
        <c:shape val="box"/>
        <c:axId val="253138048"/>
        <c:axId val="253139584"/>
        <c:axId val="0"/>
      </c:bar3DChart>
      <c:catAx>
        <c:axId val="253138048"/>
        <c:scaling>
          <c:orientation val="minMax"/>
        </c:scaling>
        <c:delete val="0"/>
        <c:axPos val="b"/>
        <c:numFmt formatCode="General" sourceLinked="1"/>
        <c:majorTickMark val="out"/>
        <c:minorTickMark val="none"/>
        <c:tickLblPos val="low"/>
        <c:spPr>
          <a:ln w="3175">
            <a:solidFill>
              <a:srgbClr val="000000"/>
            </a:solidFill>
            <a:prstDash val="solid"/>
          </a:ln>
        </c:spPr>
        <c:txPr>
          <a:bodyPr rot="-144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3139584"/>
        <c:crosses val="autoZero"/>
        <c:auto val="1"/>
        <c:lblAlgn val="ctr"/>
        <c:lblOffset val="100"/>
        <c:tickLblSkip val="1"/>
        <c:tickMarkSkip val="1"/>
        <c:noMultiLvlLbl val="0"/>
      </c:catAx>
      <c:valAx>
        <c:axId val="253139584"/>
        <c:scaling>
          <c:orientation val="minMax"/>
        </c:scaling>
        <c:delete val="0"/>
        <c:axPos val="l"/>
        <c:majorGridlines>
          <c:spPr>
            <a:ln w="3175">
              <a:solidFill>
                <a:srgbClr val="000000"/>
              </a:solidFill>
              <a:prstDash val="solid"/>
            </a:ln>
          </c:spPr>
        </c:majorGridlines>
        <c:title>
          <c:tx>
            <c:rich>
              <a:bodyPr rot="0" vert="horz"/>
              <a:lstStyle/>
              <a:p>
                <a:pPr algn="ctr">
                  <a:defRPr sz="1000" b="1" i="0" u="none" strike="noStrike" baseline="0">
                    <a:solidFill>
                      <a:srgbClr val="000000"/>
                    </a:solidFill>
                    <a:latin typeface="Times New Roman" pitchFamily="18" charset="0"/>
                    <a:ea typeface="Arial Cyr"/>
                    <a:cs typeface="Times New Roman" pitchFamily="18" charset="0"/>
                  </a:defRPr>
                </a:pPr>
                <a:r>
                  <a:rPr lang="ru-RU" sz="1000">
                    <a:latin typeface="Times New Roman" pitchFamily="18" charset="0"/>
                    <a:cs typeface="Times New Roman" pitchFamily="18" charset="0"/>
                  </a:rPr>
                  <a:t>%</a:t>
                </a:r>
              </a:p>
            </c:rich>
          </c:tx>
          <c:layout>
            <c:manualLayout>
              <c:xMode val="edge"/>
              <c:yMode val="edge"/>
              <c:x val="9.8485075729170202E-2"/>
              <c:y val="0.38870431893687707"/>
            </c:manualLayout>
          </c:layout>
          <c:overlay val="0"/>
          <c:spPr>
            <a:noFill/>
            <a:ln w="25400">
              <a:noFill/>
            </a:ln>
          </c:spPr>
        </c:title>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3138048"/>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4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pitchFamily="18" charset="0"/>
                <a:ea typeface="Arial Cyr"/>
                <a:cs typeface="Times New Roman" pitchFamily="18" charset="0"/>
              </a:defRPr>
            </a:pPr>
            <a:r>
              <a:rPr lang="ru-RU" sz="1300">
                <a:latin typeface="Times New Roman" pitchFamily="18" charset="0"/>
                <a:cs typeface="Times New Roman" pitchFamily="18" charset="0"/>
              </a:rPr>
              <a:t>Фактические расходы консолидированных бюджетов субъектов СКФО на увеличение стоимости основных средств за 2012 год</a:t>
            </a:r>
          </a:p>
        </c:rich>
      </c:tx>
      <c:layout>
        <c:manualLayout>
          <c:xMode val="edge"/>
          <c:yMode val="edge"/>
          <c:x val="0.14058020148556269"/>
          <c:y val="2.0110888200830547E-3"/>
        </c:manualLayout>
      </c:layout>
      <c:overlay val="0"/>
      <c:spPr>
        <a:noFill/>
        <a:ln w="25400">
          <a:noFill/>
        </a:ln>
      </c:spPr>
    </c:title>
    <c:autoTitleDeleted val="0"/>
    <c:view3D>
      <c:rotX val="15"/>
      <c:hPercent val="56"/>
      <c:rotY val="20"/>
      <c:depthPercent val="100"/>
      <c:rAngAx val="1"/>
    </c:view3D>
    <c:floor>
      <c:thickness val="0"/>
      <c:spPr>
        <a:solidFill>
          <a:srgbClr val="C0C0C0"/>
        </a:solidFill>
        <a:ln w="3175">
          <a:solidFill>
            <a:srgbClr val="000000"/>
          </a:solidFill>
          <a:prstDash val="solid"/>
        </a:ln>
      </c:spPr>
    </c:floor>
    <c:sideWall>
      <c:thickness val="0"/>
      <c:spPr>
        <a:solidFill>
          <a:srgbClr val="CCFFFF"/>
        </a:solidFill>
        <a:ln w="12700">
          <a:solidFill>
            <a:srgbClr val="808080"/>
          </a:solidFill>
          <a:prstDash val="solid"/>
        </a:ln>
      </c:spPr>
    </c:sideWall>
    <c:backWall>
      <c:thickness val="0"/>
      <c:spPr>
        <a:solidFill>
          <a:srgbClr val="CCFFFF"/>
        </a:solidFill>
        <a:ln w="12700">
          <a:solidFill>
            <a:srgbClr val="808080"/>
          </a:solidFill>
          <a:prstDash val="solid"/>
        </a:ln>
      </c:spPr>
    </c:backWall>
    <c:plotArea>
      <c:layout>
        <c:manualLayout>
          <c:layoutTarget val="inner"/>
          <c:xMode val="edge"/>
          <c:yMode val="edge"/>
          <c:x val="0.15492957746478872"/>
          <c:y val="0.15975694580465999"/>
          <c:w val="0.84434814012278803"/>
          <c:h val="0.53355114192815445"/>
        </c:manualLayout>
      </c:layout>
      <c:bar3DChart>
        <c:barDir val="col"/>
        <c:grouping val="clustered"/>
        <c:varyColors val="0"/>
        <c:ser>
          <c:idx val="0"/>
          <c:order val="0"/>
          <c:spPr>
            <a:solidFill>
              <a:srgbClr val="9999FF"/>
            </a:solidFill>
            <a:ln w="12700">
              <a:solidFill>
                <a:srgbClr val="000000"/>
              </a:solidFill>
              <a:prstDash val="solid"/>
            </a:ln>
          </c:spPr>
          <c:invertIfNegative val="0"/>
          <c:dPt>
            <c:idx val="5"/>
            <c:invertIfNegative val="0"/>
            <c:bubble3D val="0"/>
            <c:spPr>
              <a:solidFill>
                <a:schemeClr val="accent2">
                  <a:lumMod val="40000"/>
                  <a:lumOff val="60000"/>
                </a:schemeClr>
              </a:solidFill>
              <a:ln w="12700">
                <a:solidFill>
                  <a:srgbClr val="000000"/>
                </a:solidFill>
                <a:prstDash val="solid"/>
              </a:ln>
            </c:spPr>
          </c:dPt>
          <c:dLbls>
            <c:dLbl>
              <c:idx val="0"/>
              <c:layout>
                <c:manualLayout>
                  <c:x val="3.4599033734001019E-3"/>
                  <c:y val="0.21214174098884406"/>
                </c:manualLayout>
              </c:layout>
              <c:showLegendKey val="0"/>
              <c:showVal val="1"/>
              <c:showCatName val="0"/>
              <c:showSerName val="0"/>
              <c:showPercent val="0"/>
              <c:showBubbleSize val="0"/>
            </c:dLbl>
            <c:dLbl>
              <c:idx val="1"/>
              <c:layout>
                <c:manualLayout>
                  <c:x val="6.4830249414922813E-3"/>
                  <c:y val="-8.8239467578990032E-3"/>
                </c:manualLayout>
              </c:layout>
              <c:showLegendKey val="0"/>
              <c:showVal val="1"/>
              <c:showCatName val="0"/>
              <c:showSerName val="0"/>
              <c:showPercent val="0"/>
              <c:showBubbleSize val="0"/>
            </c:dLbl>
            <c:dLbl>
              <c:idx val="2"/>
              <c:layout>
                <c:manualLayout>
                  <c:x val="8.0616954299997448E-3"/>
                  <c:y val="-4.7197085438946997E-3"/>
                </c:manualLayout>
              </c:layout>
              <c:showLegendKey val="0"/>
              <c:showVal val="1"/>
              <c:showCatName val="0"/>
              <c:showSerName val="0"/>
              <c:showPercent val="0"/>
              <c:showBubbleSize val="0"/>
            </c:dLbl>
            <c:dLbl>
              <c:idx val="3"/>
              <c:layout>
                <c:manualLayout>
                  <c:x val="8.1958010936606929E-3"/>
                  <c:y val="-1.4250532116321281E-2"/>
                </c:manualLayout>
              </c:layout>
              <c:showLegendKey val="0"/>
              <c:showVal val="1"/>
              <c:showCatName val="0"/>
              <c:showSerName val="0"/>
              <c:showPercent val="0"/>
              <c:showBubbleSize val="0"/>
            </c:dLbl>
            <c:dLbl>
              <c:idx val="4"/>
              <c:layout>
                <c:manualLayout>
                  <c:x val="9.0520754244830994E-3"/>
                  <c:y val="-1.4641403655388848E-2"/>
                </c:manualLayout>
              </c:layout>
              <c:showLegendKey val="0"/>
              <c:showVal val="1"/>
              <c:showCatName val="0"/>
              <c:showSerName val="0"/>
              <c:showPercent val="0"/>
              <c:showBubbleSize val="0"/>
            </c:dLbl>
            <c:dLbl>
              <c:idx val="5"/>
              <c:layout>
                <c:manualLayout>
                  <c:x val="1.9633569639114722E-3"/>
                  <c:y val="0.3471536455952956"/>
                </c:manualLayout>
              </c:layout>
              <c:showLegendKey val="0"/>
              <c:showVal val="1"/>
              <c:showCatName val="0"/>
              <c:showSerName val="0"/>
              <c:showPercent val="0"/>
              <c:showBubbleSize val="0"/>
            </c:dLbl>
            <c:dLbl>
              <c:idx val="6"/>
              <c:layout>
                <c:manualLayout>
                  <c:x val="8.2367493879083094E-3"/>
                  <c:y val="-1.5133083488941991E-2"/>
                </c:manualLayout>
              </c:layout>
              <c:showLegendKey val="0"/>
              <c:showVal val="1"/>
              <c:showCatName val="0"/>
              <c:showSerName val="0"/>
              <c:showPercent val="0"/>
              <c:showBubbleSize val="0"/>
            </c:dLbl>
            <c:spPr>
              <a:noFill/>
              <a:ln w="25400">
                <a:noFill/>
              </a:ln>
            </c:spPr>
            <c:txPr>
              <a:bodyPr rot="-5400000" vert="horz"/>
              <a:lstStyle/>
              <a:p>
                <a:pPr algn="ctr">
                  <a:defRPr sz="1300" b="1" i="0" u="none" strike="noStrike" baseline="0">
                    <a:solidFill>
                      <a:srgbClr val="000000"/>
                    </a:solidFill>
                    <a:latin typeface="Times New Roman" pitchFamily="18" charset="0"/>
                    <a:ea typeface="Arial Cyr"/>
                    <a:cs typeface="Times New Roman" pitchFamily="18" charset="0"/>
                  </a:defRPr>
                </a:pPr>
                <a:endParaRPr lang="ru-RU"/>
              </a:p>
            </c:txPr>
            <c:showLegendKey val="0"/>
            <c:showVal val="1"/>
            <c:showCatName val="0"/>
            <c:showSerName val="0"/>
            <c:showPercent val="0"/>
            <c:showBubbleSize val="0"/>
            <c:showLeaderLines val="0"/>
          </c:dLbls>
          <c:cat>
            <c:strRef>
              <c:f>Лист1!$B$4:$B$10</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Лист1!$G$4:$G$10</c:f>
              <c:numCache>
                <c:formatCode>#,##0.0</c:formatCode>
                <c:ptCount val="7"/>
                <c:pt idx="0">
                  <c:v>18150772.122159999</c:v>
                </c:pt>
                <c:pt idx="1">
                  <c:v>8583253.4057599995</c:v>
                </c:pt>
                <c:pt idx="2">
                  <c:v>3792008.0251500001</c:v>
                </c:pt>
                <c:pt idx="3">
                  <c:v>4445333.81953</c:v>
                </c:pt>
                <c:pt idx="4">
                  <c:v>2904652.9482900002</c:v>
                </c:pt>
                <c:pt idx="5">
                  <c:v>26085264.070689999</c:v>
                </c:pt>
                <c:pt idx="6">
                  <c:v>9847415.6515699998</c:v>
                </c:pt>
              </c:numCache>
            </c:numRef>
          </c:val>
        </c:ser>
        <c:dLbls>
          <c:showLegendKey val="0"/>
          <c:showVal val="0"/>
          <c:showCatName val="0"/>
          <c:showSerName val="0"/>
          <c:showPercent val="0"/>
          <c:showBubbleSize val="0"/>
        </c:dLbls>
        <c:gapWidth val="150"/>
        <c:shape val="box"/>
        <c:axId val="253329408"/>
        <c:axId val="253330944"/>
        <c:axId val="0"/>
      </c:bar3DChart>
      <c:catAx>
        <c:axId val="253329408"/>
        <c:scaling>
          <c:orientation val="minMax"/>
        </c:scaling>
        <c:delete val="0"/>
        <c:axPos val="b"/>
        <c:numFmt formatCode="General" sourceLinked="1"/>
        <c:majorTickMark val="out"/>
        <c:minorTickMark val="none"/>
        <c:tickLblPos val="low"/>
        <c:spPr>
          <a:ln w="3175">
            <a:solidFill>
              <a:srgbClr val="000000"/>
            </a:solidFill>
            <a:prstDash val="solid"/>
          </a:ln>
        </c:spPr>
        <c:txPr>
          <a:bodyPr rot="-1800000" vert="horz"/>
          <a:lstStyle/>
          <a:p>
            <a:pPr>
              <a:defRPr sz="900" b="1" i="0" u="none" strike="noStrike" baseline="0">
                <a:solidFill>
                  <a:srgbClr val="000000"/>
                </a:solidFill>
                <a:latin typeface="Times New Roman" pitchFamily="18" charset="0"/>
                <a:ea typeface="Arial Cyr"/>
                <a:cs typeface="Times New Roman" pitchFamily="18" charset="0"/>
              </a:defRPr>
            </a:pPr>
            <a:endParaRPr lang="ru-RU"/>
          </a:p>
        </c:txPr>
        <c:crossAx val="253330944"/>
        <c:crosses val="autoZero"/>
        <c:auto val="1"/>
        <c:lblAlgn val="ctr"/>
        <c:lblOffset val="100"/>
        <c:tickLblSkip val="1"/>
        <c:tickMarkSkip val="1"/>
        <c:noMultiLvlLbl val="0"/>
      </c:catAx>
      <c:valAx>
        <c:axId val="253330944"/>
        <c:scaling>
          <c:orientation val="minMax"/>
        </c:scaling>
        <c:delete val="0"/>
        <c:axPos val="l"/>
        <c:majorGridlines>
          <c:spPr>
            <a:ln w="3175">
              <a:solidFill>
                <a:srgbClr val="000000"/>
              </a:solidFill>
              <a:prstDash val="solid"/>
            </a:ln>
          </c:spPr>
        </c:majorGridlines>
        <c:numFmt formatCode="#,##0.0"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253329408"/>
        <c:crosses val="autoZero"/>
        <c:crossBetween val="between"/>
      </c:valAx>
      <c:spPr>
        <a:noFill/>
        <a:ln w="25400">
          <a:noFill/>
        </a:ln>
      </c:spPr>
    </c:plotArea>
    <c:plotVisOnly val="1"/>
    <c:dispBlanksAs val="gap"/>
    <c:showDLblsOverMax val="0"/>
  </c:chart>
  <c:spPr>
    <a:solidFill>
      <a:srgbClr val="FFFFFF"/>
    </a:solidFill>
    <a:ln w="3175">
      <a:noFill/>
      <a:prstDash val="solid"/>
    </a:ln>
  </c:spPr>
  <c:txPr>
    <a:bodyPr/>
    <a:lstStyle/>
    <a:p>
      <a:pPr>
        <a:defRPr sz="147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Темпы роста ВВП Индии, %</a:t>
            </a:r>
          </a:p>
        </c:rich>
      </c:tx>
      <c:overlay val="0"/>
    </c:title>
    <c:autoTitleDeleted val="0"/>
    <c:plotArea>
      <c:layout/>
      <c:lineChart>
        <c:grouping val="standard"/>
        <c:varyColors val="0"/>
        <c:ser>
          <c:idx val="0"/>
          <c:order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Лист13!$B$10:$B$19</c:f>
              <c:strCache>
                <c:ptCount val="10"/>
                <c:pt idx="0">
                  <c:v>2003 год</c:v>
                </c:pt>
                <c:pt idx="1">
                  <c:v>2004 год</c:v>
                </c:pt>
                <c:pt idx="2">
                  <c:v>2005 год</c:v>
                </c:pt>
                <c:pt idx="3">
                  <c:v>2006 год</c:v>
                </c:pt>
                <c:pt idx="4">
                  <c:v>2007 год</c:v>
                </c:pt>
                <c:pt idx="5">
                  <c:v>2008 год</c:v>
                </c:pt>
                <c:pt idx="6">
                  <c:v>2009 год</c:v>
                </c:pt>
                <c:pt idx="7">
                  <c:v>2010 год</c:v>
                </c:pt>
                <c:pt idx="8">
                  <c:v>2011 год</c:v>
                </c:pt>
                <c:pt idx="9">
                  <c:v>2012 год</c:v>
                </c:pt>
              </c:strCache>
            </c:strRef>
          </c:cat>
          <c:val>
            <c:numRef>
              <c:f>Лист13!$C$10:$C$19</c:f>
              <c:numCache>
                <c:formatCode>General</c:formatCode>
                <c:ptCount val="10"/>
                <c:pt idx="0">
                  <c:v>6.9</c:v>
                </c:pt>
                <c:pt idx="1">
                  <c:v>7.6</c:v>
                </c:pt>
                <c:pt idx="2">
                  <c:v>9</c:v>
                </c:pt>
                <c:pt idx="3">
                  <c:v>9.5</c:v>
                </c:pt>
                <c:pt idx="4">
                  <c:v>10</c:v>
                </c:pt>
                <c:pt idx="5">
                  <c:v>6.2</c:v>
                </c:pt>
                <c:pt idx="6">
                  <c:v>6.8</c:v>
                </c:pt>
                <c:pt idx="7">
                  <c:v>10.1</c:v>
                </c:pt>
                <c:pt idx="8">
                  <c:v>6.8</c:v>
                </c:pt>
                <c:pt idx="9">
                  <c:v>5.4</c:v>
                </c:pt>
              </c:numCache>
            </c:numRef>
          </c:val>
          <c:smooth val="0"/>
        </c:ser>
        <c:dLbls>
          <c:showLegendKey val="0"/>
          <c:showVal val="1"/>
          <c:showCatName val="0"/>
          <c:showSerName val="0"/>
          <c:showPercent val="0"/>
          <c:showBubbleSize val="0"/>
        </c:dLbls>
        <c:marker val="1"/>
        <c:smooth val="0"/>
        <c:axId val="116861184"/>
        <c:axId val="116872320"/>
      </c:lineChart>
      <c:catAx>
        <c:axId val="116861184"/>
        <c:scaling>
          <c:orientation val="minMax"/>
        </c:scaling>
        <c:delete val="0"/>
        <c:axPos val="b"/>
        <c:majorTickMark val="out"/>
        <c:minorTickMark val="none"/>
        <c:tickLblPos val="nextTo"/>
        <c:txPr>
          <a:bodyPr rot="-2640000"/>
          <a:lstStyle/>
          <a:p>
            <a:pPr>
              <a:defRPr sz="1200" b="1">
                <a:latin typeface="Times New Roman" pitchFamily="18" charset="0"/>
                <a:cs typeface="Times New Roman" pitchFamily="18" charset="0"/>
              </a:defRPr>
            </a:pPr>
            <a:endParaRPr lang="ru-RU"/>
          </a:p>
        </c:txPr>
        <c:crossAx val="116872320"/>
        <c:crosses val="autoZero"/>
        <c:auto val="1"/>
        <c:lblAlgn val="ctr"/>
        <c:lblOffset val="100"/>
        <c:noMultiLvlLbl val="0"/>
      </c:catAx>
      <c:valAx>
        <c:axId val="116872320"/>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6861184"/>
        <c:crosses val="autoZero"/>
        <c:crossBetween val="between"/>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b="1" i="0" u="none" strike="noStrike" baseline="0" smtClean="0">
                <a:latin typeface="Times New Roman" pitchFamily="18" charset="0"/>
                <a:cs typeface="Times New Roman" pitchFamily="18" charset="0"/>
              </a:rPr>
              <a:t>Динамика ВВП в % к предыдущему году</a:t>
            </a:r>
            <a:endParaRPr lang="ru-RU" sz="1400">
              <a:latin typeface="Times New Roman" pitchFamily="18" charset="0"/>
              <a:cs typeface="Times New Roman" pitchFamily="18" charset="0"/>
            </a:endParaRPr>
          </a:p>
        </c:rich>
      </c:tx>
      <c:layout>
        <c:manualLayout>
          <c:xMode val="edge"/>
          <c:yMode val="edge"/>
          <c:x val="0.2700884625360172"/>
          <c:y val="1.2266174834908878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Лист1!$A$5:$M$5</c:f>
              <c:strCache>
                <c:ptCount val="13"/>
                <c:pt idx="0">
                  <c:v>2000 год</c:v>
                </c:pt>
                <c:pt idx="1">
                  <c:v>2001 год</c:v>
                </c:pt>
                <c:pt idx="2">
                  <c:v>2002 год</c:v>
                </c:pt>
                <c:pt idx="3">
                  <c:v>2003 год</c:v>
                </c:pt>
                <c:pt idx="4">
                  <c:v>2004 год</c:v>
                </c:pt>
                <c:pt idx="5">
                  <c:v>2005 год</c:v>
                </c:pt>
                <c:pt idx="6">
                  <c:v>2006 год</c:v>
                </c:pt>
                <c:pt idx="7">
                  <c:v>2007 год</c:v>
                </c:pt>
                <c:pt idx="8">
                  <c:v>2008 год</c:v>
                </c:pt>
                <c:pt idx="9">
                  <c:v>2009 год</c:v>
                </c:pt>
                <c:pt idx="10">
                  <c:v>2010 год</c:v>
                </c:pt>
                <c:pt idx="11">
                  <c:v>2011 год</c:v>
                </c:pt>
                <c:pt idx="12">
                  <c:v>2012 год</c:v>
                </c:pt>
              </c:strCache>
            </c:strRef>
          </c:cat>
          <c:val>
            <c:numRef>
              <c:f>Лист1!$A$6:$M$6</c:f>
              <c:numCache>
                <c:formatCode>General</c:formatCode>
                <c:ptCount val="13"/>
                <c:pt idx="0">
                  <c:v>10</c:v>
                </c:pt>
                <c:pt idx="1">
                  <c:v>5.0999999999999996</c:v>
                </c:pt>
                <c:pt idx="2">
                  <c:v>4.7</c:v>
                </c:pt>
                <c:pt idx="3">
                  <c:v>7.3</c:v>
                </c:pt>
                <c:pt idx="4">
                  <c:v>7.2</c:v>
                </c:pt>
                <c:pt idx="5">
                  <c:v>6.4</c:v>
                </c:pt>
                <c:pt idx="6">
                  <c:v>8.1999999999999993</c:v>
                </c:pt>
                <c:pt idx="7">
                  <c:v>8.5</c:v>
                </c:pt>
                <c:pt idx="8">
                  <c:v>5.2</c:v>
                </c:pt>
                <c:pt idx="9">
                  <c:v>-7.8</c:v>
                </c:pt>
                <c:pt idx="10">
                  <c:v>4.5</c:v>
                </c:pt>
                <c:pt idx="11">
                  <c:v>4.3</c:v>
                </c:pt>
                <c:pt idx="12">
                  <c:v>3.4</c:v>
                </c:pt>
              </c:numCache>
            </c:numRef>
          </c:val>
        </c:ser>
        <c:dLbls>
          <c:showLegendKey val="0"/>
          <c:showVal val="1"/>
          <c:showCatName val="0"/>
          <c:showSerName val="0"/>
          <c:showPercent val="0"/>
          <c:showBubbleSize val="0"/>
        </c:dLbls>
        <c:gapWidth val="150"/>
        <c:shape val="box"/>
        <c:axId val="116892032"/>
        <c:axId val="116894720"/>
        <c:axId val="0"/>
      </c:bar3DChart>
      <c:catAx>
        <c:axId val="116892032"/>
        <c:scaling>
          <c:orientation val="minMax"/>
        </c:scaling>
        <c:delete val="0"/>
        <c:axPos val="b"/>
        <c:majorTickMark val="out"/>
        <c:minorTickMark val="none"/>
        <c:tickLblPos val="nextTo"/>
        <c:txPr>
          <a:bodyPr rot="-3600000"/>
          <a:lstStyle/>
          <a:p>
            <a:pPr>
              <a:defRPr sz="1200" b="1">
                <a:latin typeface="Times New Roman" pitchFamily="18" charset="0"/>
                <a:cs typeface="Times New Roman" pitchFamily="18" charset="0"/>
              </a:defRPr>
            </a:pPr>
            <a:endParaRPr lang="ru-RU"/>
          </a:p>
        </c:txPr>
        <c:crossAx val="116894720"/>
        <c:crosses val="autoZero"/>
        <c:auto val="1"/>
        <c:lblAlgn val="ctr"/>
        <c:lblOffset val="100"/>
        <c:noMultiLvlLbl val="0"/>
      </c:catAx>
      <c:valAx>
        <c:axId val="116894720"/>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6892032"/>
        <c:crosses val="autoZero"/>
        <c:crossBetween val="between"/>
      </c:valAx>
    </c:plotArea>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latin typeface="Times New Roman" pitchFamily="18" charset="0"/>
              <a:cs typeface="Times New Roman" pitchFamily="18" charset="0"/>
            </a:defRPr>
          </a:pPr>
          <a:endParaRPr lang="ru-RU"/>
        </a:p>
      </c:txPr>
    </c:title>
    <c:autoTitleDeleted val="0"/>
    <c:plotArea>
      <c:layout/>
      <c:lineChart>
        <c:grouping val="standard"/>
        <c:varyColors val="0"/>
        <c:ser>
          <c:idx val="0"/>
          <c:order val="0"/>
          <c:tx>
            <c:strRef>
              <c:f>Лист3!$B$4</c:f>
              <c:strCache>
                <c:ptCount val="1"/>
                <c:pt idx="0">
                  <c:v>Оборот розничной торговли </c:v>
                </c:pt>
              </c:strCache>
            </c:strRef>
          </c:tx>
          <c:dLbls>
            <c:dLbl>
              <c:idx val="2"/>
              <c:layout>
                <c:manualLayout>
                  <c:x val="-3.915507470376095E-2"/>
                  <c:y val="-3.79596631254253E-2"/>
                </c:manualLayout>
              </c:layout>
              <c:showLegendKey val="0"/>
              <c:showVal val="1"/>
              <c:showCatName val="0"/>
              <c:showSerName val="0"/>
              <c:showPercent val="0"/>
              <c:showBubbleSize val="0"/>
            </c:dLbl>
            <c:dLbl>
              <c:idx val="3"/>
              <c:layout>
                <c:manualLayout>
                  <c:x val="-3.0911901081916538E-2"/>
                  <c:y val="-4.7449578906781628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Лист3!$B$6:$F$6</c:f>
              <c:strCache>
                <c:ptCount val="5"/>
                <c:pt idx="0">
                  <c:v>2008г.</c:v>
                </c:pt>
                <c:pt idx="1">
                  <c:v>2009г.</c:v>
                </c:pt>
                <c:pt idx="2">
                  <c:v>2010г.</c:v>
                </c:pt>
                <c:pt idx="3">
                  <c:v>2011г.</c:v>
                </c:pt>
                <c:pt idx="4">
                  <c:v>2012г.</c:v>
                </c:pt>
              </c:strCache>
            </c:strRef>
          </c:cat>
          <c:val>
            <c:numRef>
              <c:f>Лист3!$B$5:$F$5</c:f>
              <c:numCache>
                <c:formatCode>General</c:formatCode>
                <c:ptCount val="5"/>
                <c:pt idx="0">
                  <c:v>113.7</c:v>
                </c:pt>
                <c:pt idx="1">
                  <c:v>94.9</c:v>
                </c:pt>
                <c:pt idx="2">
                  <c:v>106.4</c:v>
                </c:pt>
                <c:pt idx="3">
                  <c:v>107</c:v>
                </c:pt>
                <c:pt idx="4">
                  <c:v>105.9</c:v>
                </c:pt>
              </c:numCache>
            </c:numRef>
          </c:val>
          <c:smooth val="0"/>
        </c:ser>
        <c:dLbls>
          <c:showLegendKey val="0"/>
          <c:showVal val="1"/>
          <c:showCatName val="0"/>
          <c:showSerName val="0"/>
          <c:showPercent val="0"/>
          <c:showBubbleSize val="0"/>
        </c:dLbls>
        <c:marker val="1"/>
        <c:smooth val="0"/>
        <c:axId val="116914048"/>
        <c:axId val="156787456"/>
      </c:lineChart>
      <c:catAx>
        <c:axId val="116914048"/>
        <c:scaling>
          <c:orientation val="minMax"/>
        </c:scaling>
        <c:delete val="0"/>
        <c:axPos val="b"/>
        <c:majorTickMark val="out"/>
        <c:minorTickMark val="none"/>
        <c:tickLblPos val="nextTo"/>
        <c:txPr>
          <a:bodyPr/>
          <a:lstStyle/>
          <a:p>
            <a:pPr>
              <a:defRPr sz="1200" b="1">
                <a:latin typeface="Times New Roman" pitchFamily="18" charset="0"/>
                <a:cs typeface="Times New Roman" pitchFamily="18" charset="0"/>
              </a:defRPr>
            </a:pPr>
            <a:endParaRPr lang="ru-RU"/>
          </a:p>
        </c:txPr>
        <c:crossAx val="156787456"/>
        <c:crosses val="autoZero"/>
        <c:auto val="1"/>
        <c:lblAlgn val="ctr"/>
        <c:lblOffset val="100"/>
        <c:noMultiLvlLbl val="0"/>
      </c:catAx>
      <c:valAx>
        <c:axId val="156787456"/>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6914048"/>
        <c:crosses val="autoZero"/>
        <c:crossBetween val="between"/>
      </c:valAx>
    </c:plotArea>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latin typeface="Times New Roman" pitchFamily="18" charset="0"/>
              <a:cs typeface="Times New Roman" pitchFamily="18" charset="0"/>
            </a:defRPr>
          </a:pPr>
          <a:endParaRPr lang="ru-RU"/>
        </a:p>
      </c:txPr>
    </c:title>
    <c:autoTitleDeleted val="0"/>
    <c:plotArea>
      <c:layout/>
      <c:lineChart>
        <c:grouping val="standard"/>
        <c:varyColors val="0"/>
        <c:ser>
          <c:idx val="0"/>
          <c:order val="0"/>
          <c:tx>
            <c:strRef>
              <c:f>Лист2!$C$6</c:f>
              <c:strCache>
                <c:ptCount val="1"/>
                <c:pt idx="0">
                  <c:v>Реальные располагаемые денежные доходы </c:v>
                </c:pt>
              </c:strCache>
            </c:strRef>
          </c:tx>
          <c:dLbls>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Лист2!$C$8:$G$8</c:f>
              <c:strCache>
                <c:ptCount val="5"/>
                <c:pt idx="0">
                  <c:v>2008г.</c:v>
                </c:pt>
                <c:pt idx="1">
                  <c:v>2009г.</c:v>
                </c:pt>
                <c:pt idx="2">
                  <c:v>2010г.</c:v>
                </c:pt>
                <c:pt idx="3">
                  <c:v>2011г.</c:v>
                </c:pt>
                <c:pt idx="4">
                  <c:v>2012г.</c:v>
                </c:pt>
              </c:strCache>
            </c:strRef>
          </c:cat>
          <c:val>
            <c:numRef>
              <c:f>Лист2!$C$7:$G$7</c:f>
              <c:numCache>
                <c:formatCode>General</c:formatCode>
                <c:ptCount val="5"/>
                <c:pt idx="0">
                  <c:v>102.4</c:v>
                </c:pt>
                <c:pt idx="1">
                  <c:v>103</c:v>
                </c:pt>
                <c:pt idx="2">
                  <c:v>105.9</c:v>
                </c:pt>
                <c:pt idx="3">
                  <c:v>100.4</c:v>
                </c:pt>
                <c:pt idx="4">
                  <c:v>104.2</c:v>
                </c:pt>
              </c:numCache>
            </c:numRef>
          </c:val>
          <c:smooth val="0"/>
        </c:ser>
        <c:dLbls>
          <c:showLegendKey val="0"/>
          <c:showVal val="1"/>
          <c:showCatName val="0"/>
          <c:showSerName val="0"/>
          <c:showPercent val="0"/>
          <c:showBubbleSize val="0"/>
        </c:dLbls>
        <c:marker val="1"/>
        <c:smooth val="0"/>
        <c:axId val="163057024"/>
        <c:axId val="163059968"/>
      </c:lineChart>
      <c:catAx>
        <c:axId val="163057024"/>
        <c:scaling>
          <c:orientation val="minMax"/>
        </c:scaling>
        <c:delete val="0"/>
        <c:axPos val="b"/>
        <c:majorTickMark val="out"/>
        <c:minorTickMark val="none"/>
        <c:tickLblPos val="nextTo"/>
        <c:txPr>
          <a:bodyPr/>
          <a:lstStyle/>
          <a:p>
            <a:pPr>
              <a:defRPr sz="1200" b="1">
                <a:latin typeface="Times New Roman" pitchFamily="18" charset="0"/>
                <a:cs typeface="Times New Roman" pitchFamily="18" charset="0"/>
              </a:defRPr>
            </a:pPr>
            <a:endParaRPr lang="ru-RU"/>
          </a:p>
        </c:txPr>
        <c:crossAx val="163059968"/>
        <c:crosses val="autoZero"/>
        <c:auto val="1"/>
        <c:lblAlgn val="ctr"/>
        <c:lblOffset val="100"/>
        <c:noMultiLvlLbl val="0"/>
      </c:catAx>
      <c:valAx>
        <c:axId val="163059968"/>
        <c:scaling>
          <c:orientation val="minMax"/>
        </c:scaling>
        <c:delete val="0"/>
        <c:axPos val="l"/>
        <c:majorGridlines/>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63057024"/>
        <c:crosses val="autoZero"/>
        <c:crossBetween val="between"/>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6EA9C1-B37E-40A6-8837-4A419CCCD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1704</TotalTime>
  <Pages>186</Pages>
  <Words>43622</Words>
  <Characters>248648</Characters>
  <Application>Microsoft Office Word</Application>
  <DocSecurity>0</DocSecurity>
  <Lines>2072</Lines>
  <Paragraphs>583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291687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53</cp:revision>
  <dcterms:created xsi:type="dcterms:W3CDTF">2013-06-06T08:07:00Z</dcterms:created>
  <dcterms:modified xsi:type="dcterms:W3CDTF">2013-06-10T13:40:00Z</dcterms:modified>
</cp:coreProperties>
</file>